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4719585" w:displacedByCustomXml="next"/>
    <w:sdt>
      <w:sdtPr>
        <w:id w:val="76467073"/>
        <w:docPartObj>
          <w:docPartGallery w:val="Cover Pages"/>
          <w:docPartUnique/>
        </w:docPartObj>
      </w:sdtPr>
      <w:sdtEndPr>
        <w:rPr>
          <w:b/>
          <w:bCs/>
        </w:rPr>
      </w:sdtEndPr>
      <w:sdtContent>
        <w:p w:rsidR="008B0E42" w:rsidRPr="00EC4B85" w:rsidRDefault="006156C3" w:rsidP="00746F5D">
          <w:pPr>
            <w:jc w:val="center"/>
            <w:rPr>
              <w:rFonts w:eastAsiaTheme="majorEastAsia"/>
              <w:b/>
              <w:sz w:val="36"/>
              <w:szCs w:val="36"/>
            </w:rPr>
          </w:pPr>
          <w:r>
            <w:rPr>
              <w:rFonts w:eastAsiaTheme="majorEastAsia"/>
              <w:b/>
              <w:sz w:val="36"/>
              <w:szCs w:val="36"/>
            </w:rPr>
            <w:t>Analysis of Brownfields Cleanup Alternatives</w:t>
          </w:r>
        </w:p>
        <w:p w:rsidR="008B0E42" w:rsidRPr="00EC4B85" w:rsidRDefault="006156C3" w:rsidP="00A861B4">
          <w:pPr>
            <w:pStyle w:val="NoSpacing"/>
            <w:jc w:val="center"/>
            <w:rPr>
              <w:rFonts w:eastAsiaTheme="majorEastAsia"/>
              <w:b/>
              <w:sz w:val="36"/>
              <w:szCs w:val="36"/>
            </w:rPr>
          </w:pPr>
          <w:r>
            <w:rPr>
              <w:rFonts w:eastAsiaTheme="majorEastAsia"/>
              <w:b/>
              <w:sz w:val="36"/>
              <w:szCs w:val="36"/>
            </w:rPr>
            <w:t>Preliminary Evaluation</w:t>
          </w:r>
        </w:p>
        <w:p w:rsidR="008B0E42" w:rsidRPr="00386996" w:rsidRDefault="008B0E42" w:rsidP="00A861B4">
          <w:pPr>
            <w:pStyle w:val="NoSpacing"/>
            <w:jc w:val="center"/>
            <w:rPr>
              <w:rFonts w:ascii="Georgia" w:eastAsiaTheme="majorEastAsia" w:hAnsi="Georgia"/>
              <w:b/>
              <w:sz w:val="36"/>
              <w:szCs w:val="36"/>
            </w:rPr>
          </w:pPr>
        </w:p>
        <w:p w:rsidR="002D2640" w:rsidRDefault="005E2A14" w:rsidP="00A861B4">
          <w:pPr>
            <w:pStyle w:val="NoSpacing"/>
            <w:jc w:val="center"/>
            <w:rPr>
              <w:rFonts w:eastAsiaTheme="majorEastAsia"/>
              <w:b/>
              <w:sz w:val="32"/>
              <w:szCs w:val="32"/>
            </w:rPr>
          </w:pPr>
          <w:r>
            <w:rPr>
              <w:rFonts w:eastAsiaTheme="majorEastAsia"/>
              <w:b/>
              <w:sz w:val="32"/>
              <w:szCs w:val="32"/>
            </w:rPr>
            <w:t>Ohio Street Dump</w:t>
          </w:r>
        </w:p>
        <w:p w:rsidR="008B0E42" w:rsidRPr="00EC4B85" w:rsidRDefault="00EA7C60" w:rsidP="00A861B4">
          <w:pPr>
            <w:pStyle w:val="NoSpacing"/>
            <w:jc w:val="center"/>
            <w:rPr>
              <w:rFonts w:eastAsiaTheme="majorEastAsia"/>
              <w:b/>
              <w:sz w:val="32"/>
              <w:szCs w:val="32"/>
            </w:rPr>
          </w:pPr>
          <w:r>
            <w:rPr>
              <w:rFonts w:eastAsiaTheme="majorEastAsia"/>
              <w:b/>
              <w:sz w:val="32"/>
              <w:szCs w:val="32"/>
            </w:rPr>
            <w:t>1411</w:t>
          </w:r>
          <w:r w:rsidR="006A4B68">
            <w:rPr>
              <w:rFonts w:eastAsiaTheme="majorEastAsia"/>
              <w:b/>
              <w:sz w:val="32"/>
              <w:szCs w:val="32"/>
            </w:rPr>
            <w:t xml:space="preserve"> North</w:t>
          </w:r>
          <w:r w:rsidR="005E2A14">
            <w:rPr>
              <w:rFonts w:eastAsiaTheme="majorEastAsia"/>
              <w:b/>
              <w:sz w:val="32"/>
              <w:szCs w:val="32"/>
            </w:rPr>
            <w:t xml:space="preserve"> Frankfort Avenue</w:t>
          </w:r>
        </w:p>
        <w:p w:rsidR="008B0E42" w:rsidRPr="00EC4B85" w:rsidRDefault="005E2A14" w:rsidP="00A861B4">
          <w:pPr>
            <w:pStyle w:val="NoSpacing"/>
            <w:jc w:val="center"/>
            <w:rPr>
              <w:rFonts w:eastAsiaTheme="majorEastAsia"/>
              <w:b/>
              <w:sz w:val="32"/>
              <w:szCs w:val="32"/>
            </w:rPr>
          </w:pPr>
          <w:r>
            <w:rPr>
              <w:rFonts w:eastAsiaTheme="majorEastAsia"/>
              <w:b/>
              <w:sz w:val="32"/>
              <w:szCs w:val="32"/>
            </w:rPr>
            <w:t>Louisville, Kentucky 40206</w:t>
          </w:r>
        </w:p>
        <w:p w:rsidR="008B0E42" w:rsidRDefault="008B0E42" w:rsidP="00A861B4">
          <w:pPr>
            <w:pStyle w:val="NoSpacing"/>
            <w:jc w:val="center"/>
            <w:rPr>
              <w:rFonts w:eastAsiaTheme="majorEastAsia"/>
              <w:b/>
              <w:sz w:val="32"/>
              <w:szCs w:val="32"/>
            </w:rPr>
          </w:pPr>
          <w:r>
            <w:rPr>
              <w:rFonts w:eastAsiaTheme="majorEastAsia"/>
              <w:b/>
              <w:sz w:val="32"/>
              <w:szCs w:val="32"/>
            </w:rPr>
            <w:t xml:space="preserve">AI: </w:t>
          </w:r>
          <w:r w:rsidR="005E2A14">
            <w:rPr>
              <w:rFonts w:eastAsiaTheme="majorEastAsia"/>
              <w:b/>
              <w:sz w:val="32"/>
              <w:szCs w:val="32"/>
            </w:rPr>
            <w:t>52215</w:t>
          </w:r>
        </w:p>
        <w:p w:rsidR="009B7B26" w:rsidRPr="00EC4B85" w:rsidRDefault="009B7B26" w:rsidP="009B7B26">
          <w:pPr>
            <w:pStyle w:val="NoSpacing"/>
            <w:jc w:val="center"/>
            <w:rPr>
              <w:rFonts w:eastAsiaTheme="majorEastAsia"/>
              <w:b/>
              <w:sz w:val="32"/>
              <w:szCs w:val="32"/>
            </w:rPr>
          </w:pPr>
        </w:p>
        <w:p w:rsidR="008B0E42" w:rsidRDefault="008B0E42" w:rsidP="00A861B4">
          <w:pPr>
            <w:pStyle w:val="NoSpacing"/>
            <w:jc w:val="center"/>
            <w:rPr>
              <w:rFonts w:ascii="Georgia" w:eastAsiaTheme="majorEastAsia" w:hAnsi="Georgia"/>
              <w:b/>
              <w:sz w:val="32"/>
              <w:szCs w:val="32"/>
            </w:rPr>
          </w:pPr>
        </w:p>
        <w:p w:rsidR="008B0E42" w:rsidRPr="00386996" w:rsidRDefault="008B0E42" w:rsidP="00A861B4">
          <w:pPr>
            <w:pStyle w:val="NoSpacing"/>
            <w:jc w:val="center"/>
            <w:rPr>
              <w:rFonts w:ascii="Georgia" w:eastAsiaTheme="majorEastAsia" w:hAnsi="Georgia"/>
              <w:b/>
              <w:sz w:val="32"/>
              <w:szCs w:val="32"/>
            </w:rPr>
          </w:pPr>
        </w:p>
        <w:p w:rsidR="008B0E42" w:rsidRPr="00386996" w:rsidRDefault="008B0E42" w:rsidP="00A861B4">
          <w:pPr>
            <w:pStyle w:val="NoSpacing"/>
            <w:jc w:val="center"/>
            <w:rPr>
              <w:rFonts w:ascii="Georgia" w:eastAsiaTheme="majorEastAsia" w:hAnsi="Georgia"/>
            </w:rPr>
          </w:pPr>
        </w:p>
        <w:p w:rsidR="008B0E42" w:rsidRPr="00EC4B85" w:rsidRDefault="008B0E42" w:rsidP="00A861B4">
          <w:pPr>
            <w:pStyle w:val="NoSpacing"/>
            <w:jc w:val="center"/>
            <w:rPr>
              <w:rFonts w:eastAsiaTheme="majorEastAsia"/>
              <w:sz w:val="28"/>
              <w:szCs w:val="28"/>
            </w:rPr>
          </w:pPr>
          <w:r w:rsidRPr="00EC4B85">
            <w:rPr>
              <w:rFonts w:eastAsiaTheme="majorEastAsia"/>
              <w:sz w:val="28"/>
              <w:szCs w:val="28"/>
            </w:rPr>
            <w:t>Prepared for:</w:t>
          </w:r>
        </w:p>
        <w:p w:rsidR="008B0E42" w:rsidRPr="00EC4B85" w:rsidRDefault="005E2A14" w:rsidP="00A861B4">
          <w:pPr>
            <w:pStyle w:val="NoSpacing"/>
            <w:jc w:val="center"/>
            <w:rPr>
              <w:rFonts w:eastAsiaTheme="majorEastAsia"/>
              <w:sz w:val="28"/>
              <w:szCs w:val="28"/>
            </w:rPr>
          </w:pPr>
          <w:r>
            <w:rPr>
              <w:rFonts w:eastAsiaTheme="majorEastAsia"/>
              <w:sz w:val="28"/>
              <w:szCs w:val="28"/>
            </w:rPr>
            <w:t xml:space="preserve">Waterfront Botanical </w:t>
          </w:r>
          <w:r w:rsidR="006A4B68">
            <w:rPr>
              <w:rFonts w:eastAsiaTheme="majorEastAsia"/>
              <w:sz w:val="28"/>
              <w:szCs w:val="28"/>
            </w:rPr>
            <w:t>Gardens</w:t>
          </w:r>
        </w:p>
        <w:p w:rsidR="000B32B6" w:rsidRDefault="006F48C7" w:rsidP="00A861B4">
          <w:pPr>
            <w:pStyle w:val="NoSpacing"/>
            <w:jc w:val="center"/>
            <w:rPr>
              <w:rFonts w:eastAsiaTheme="majorEastAsia"/>
              <w:sz w:val="28"/>
              <w:szCs w:val="28"/>
            </w:rPr>
          </w:pPr>
          <w:r>
            <w:rPr>
              <w:rFonts w:eastAsiaTheme="majorEastAsia"/>
              <w:sz w:val="28"/>
              <w:szCs w:val="28"/>
            </w:rPr>
            <w:t>PO</w:t>
          </w:r>
          <w:r w:rsidR="005E2A14">
            <w:rPr>
              <w:rFonts w:eastAsiaTheme="majorEastAsia"/>
              <w:sz w:val="28"/>
              <w:szCs w:val="28"/>
            </w:rPr>
            <w:t xml:space="preserve"> Box 5056</w:t>
          </w:r>
        </w:p>
        <w:p w:rsidR="006156C3" w:rsidRDefault="005E2A14" w:rsidP="00A861B4">
          <w:pPr>
            <w:pStyle w:val="NoSpacing"/>
            <w:jc w:val="center"/>
            <w:rPr>
              <w:rFonts w:eastAsiaTheme="majorEastAsia"/>
              <w:sz w:val="28"/>
              <w:szCs w:val="28"/>
            </w:rPr>
          </w:pPr>
          <w:r>
            <w:rPr>
              <w:rFonts w:eastAsiaTheme="majorEastAsia"/>
              <w:sz w:val="28"/>
              <w:szCs w:val="28"/>
            </w:rPr>
            <w:t>Louisville, Kentucky 40255</w:t>
          </w:r>
        </w:p>
        <w:p w:rsidR="003D360D" w:rsidRDefault="003D360D" w:rsidP="00A861B4">
          <w:pPr>
            <w:pStyle w:val="NoSpacing"/>
            <w:jc w:val="center"/>
            <w:rPr>
              <w:rFonts w:eastAsiaTheme="majorEastAsia"/>
              <w:sz w:val="28"/>
              <w:szCs w:val="28"/>
            </w:rPr>
          </w:pPr>
        </w:p>
        <w:p w:rsidR="004C4EFD" w:rsidRDefault="004C4EFD"/>
        <w:p w:rsidR="00A861B4" w:rsidRDefault="00A861B4">
          <w:pPr>
            <w:sectPr w:rsidR="00A861B4" w:rsidSect="00A861B4">
              <w:footerReference w:type="default" r:id="rId8"/>
              <w:type w:val="continuous"/>
              <w:pgSz w:w="12240" w:h="15840"/>
              <w:pgMar w:top="1440" w:right="1440" w:bottom="1440" w:left="1440" w:header="720" w:footer="144" w:gutter="0"/>
              <w:pgNumType w:start="1"/>
              <w:cols w:space="720"/>
              <w:docGrid w:linePitch="360"/>
            </w:sectPr>
          </w:pPr>
        </w:p>
        <w:p w:rsidR="00760488" w:rsidRDefault="00074C20" w:rsidP="00760488">
          <w:pPr>
            <w:rPr>
              <w:b/>
              <w:bCs/>
            </w:rPr>
          </w:pPr>
        </w:p>
      </w:sdtContent>
    </w:sdt>
    <w:bookmarkEnd w:id="0" w:displacedByCustomXml="prev"/>
    <w:bookmarkStart w:id="1" w:name="_Toc496619230" w:displacedByCustomXml="prev"/>
    <w:p w:rsidR="00550EF8" w:rsidRDefault="006156C3" w:rsidP="009B3FA1">
      <w:pPr>
        <w:pStyle w:val="Heading2"/>
        <w:numPr>
          <w:ilvl w:val="0"/>
          <w:numId w:val="25"/>
        </w:numPr>
      </w:pPr>
      <w:r>
        <w:t>Introduction and Background</w:t>
      </w:r>
      <w:bookmarkEnd w:id="1"/>
    </w:p>
    <w:p w:rsidR="006156C3" w:rsidRPr="003D360D" w:rsidRDefault="006156C3" w:rsidP="003D360D">
      <w:pPr>
        <w:pStyle w:val="Heading3"/>
        <w:numPr>
          <w:ilvl w:val="0"/>
          <w:numId w:val="37"/>
        </w:numPr>
      </w:pPr>
      <w:bookmarkStart w:id="2" w:name="_Toc496619231"/>
      <w:r w:rsidRPr="003D360D">
        <w:rPr>
          <w:rStyle w:val="Heading3Char"/>
          <w:b/>
          <w:bCs/>
        </w:rPr>
        <w:t>Site Location</w:t>
      </w:r>
      <w:bookmarkEnd w:id="2"/>
    </w:p>
    <w:p w:rsidR="009B3FA1" w:rsidRDefault="009B3FA1" w:rsidP="009B3FA1">
      <w:pPr>
        <w:rPr>
          <w:spacing w:val="-6"/>
        </w:rPr>
      </w:pPr>
      <w:bookmarkStart w:id="3" w:name="OLE_LINK17"/>
      <w:bookmarkStart w:id="4" w:name="OLE_LINK18"/>
      <w:bookmarkStart w:id="5" w:name="OLE_LINK15"/>
      <w:bookmarkStart w:id="6" w:name="OLE_LINK16"/>
      <w:r w:rsidRPr="005B182D">
        <w:t>The</w:t>
      </w:r>
      <w:r>
        <w:t xml:space="preserve"> </w:t>
      </w:r>
      <w:bookmarkEnd w:id="3"/>
      <w:bookmarkEnd w:id="4"/>
      <w:r>
        <w:rPr>
          <w:spacing w:val="-1"/>
        </w:rPr>
        <w:t>Ohio Street Dump</w:t>
      </w:r>
      <w:r>
        <w:t xml:space="preserve"> (hereinafter the site) is </w:t>
      </w:r>
      <w:r w:rsidRPr="005B182D">
        <w:t>located at</w:t>
      </w:r>
      <w:r w:rsidR="004E5B57">
        <w:t xml:space="preserve"> 1411</w:t>
      </w:r>
      <w:bookmarkStart w:id="7" w:name="_GoBack"/>
      <w:bookmarkEnd w:id="7"/>
      <w:r>
        <w:t xml:space="preserve"> N. Frankfort Ave., Louisville, Jefferson County, Kentucky; </w:t>
      </w:r>
      <w:bookmarkStart w:id="8" w:name="OLE_LINK3"/>
      <w:bookmarkStart w:id="9" w:name="OLE_LINK4"/>
      <w:bookmarkStart w:id="10" w:name="OLE_LINK19"/>
      <w:bookmarkStart w:id="11" w:name="OLE_LINK20"/>
      <w:r>
        <w:rPr>
          <w:spacing w:val="-6"/>
        </w:rPr>
        <w:t>Latitude 38.263987</w:t>
      </w:r>
      <w:r w:rsidRPr="008D5D0A">
        <w:rPr>
          <w:spacing w:val="-6"/>
        </w:rPr>
        <w:t>°</w:t>
      </w:r>
      <w:r>
        <w:rPr>
          <w:spacing w:val="-6"/>
        </w:rPr>
        <w:t xml:space="preserve">, </w:t>
      </w:r>
      <w:r w:rsidRPr="00104FD9">
        <w:rPr>
          <w:spacing w:val="-6"/>
        </w:rPr>
        <w:t>Lon</w:t>
      </w:r>
      <w:r>
        <w:rPr>
          <w:spacing w:val="-6"/>
        </w:rPr>
        <w:t>gi</w:t>
      </w:r>
      <w:bookmarkEnd w:id="8"/>
      <w:bookmarkEnd w:id="9"/>
      <w:r>
        <w:rPr>
          <w:spacing w:val="-6"/>
        </w:rPr>
        <w:t>tude -85.724492</w:t>
      </w:r>
      <w:r w:rsidRPr="00770DBF">
        <w:rPr>
          <w:spacing w:val="-6"/>
        </w:rPr>
        <w:t>°</w:t>
      </w:r>
      <w:bookmarkEnd w:id="5"/>
      <w:bookmarkEnd w:id="6"/>
      <w:r>
        <w:rPr>
          <w:spacing w:val="-6"/>
        </w:rPr>
        <w:t>.</w:t>
      </w:r>
      <w:bookmarkEnd w:id="10"/>
      <w:bookmarkEnd w:id="11"/>
    </w:p>
    <w:p w:rsidR="009B3FA1" w:rsidRPr="003D360D" w:rsidRDefault="009B3FA1" w:rsidP="003D360D">
      <w:pPr>
        <w:pStyle w:val="Heading3"/>
        <w:numPr>
          <w:ilvl w:val="0"/>
          <w:numId w:val="37"/>
        </w:numPr>
      </w:pPr>
      <w:bookmarkStart w:id="12" w:name="_Toc496619232"/>
      <w:r w:rsidRPr="003D360D">
        <w:t>Forecasted Climate Conditions</w:t>
      </w:r>
      <w:bookmarkEnd w:id="12"/>
    </w:p>
    <w:p w:rsidR="009B3FA1" w:rsidRPr="009B3FA1" w:rsidRDefault="009B3FA1" w:rsidP="009B3FA1">
      <w:pPr>
        <w:rPr>
          <w:spacing w:val="-6"/>
        </w:rPr>
      </w:pPr>
      <w:r w:rsidRPr="009B3FA1">
        <w:rPr>
          <w:spacing w:val="-6"/>
        </w:rPr>
        <w:t>According to the US Global Change Research Program (USGCRP), climate trends for the</w:t>
      </w:r>
    </w:p>
    <w:p w:rsidR="009B3FA1" w:rsidRPr="009B3FA1" w:rsidRDefault="009B3FA1" w:rsidP="009B3FA1">
      <w:pPr>
        <w:rPr>
          <w:spacing w:val="-6"/>
        </w:rPr>
      </w:pPr>
      <w:r w:rsidRPr="009B3FA1">
        <w:rPr>
          <w:spacing w:val="-6"/>
        </w:rPr>
        <w:t xml:space="preserve">Southeast region of the United States include increased temperatures, increased precipitation with greater variability, increased extreme precipitation events, and rises in sea level (see attached summary included in </w:t>
      </w:r>
      <w:r w:rsidRPr="009B3FA1">
        <w:rPr>
          <w:i/>
          <w:iCs/>
          <w:spacing w:val="-6"/>
        </w:rPr>
        <w:t>Attachment A</w:t>
      </w:r>
      <w:r w:rsidRPr="009B3FA1">
        <w:rPr>
          <w:spacing w:val="-6"/>
        </w:rPr>
        <w:t>). Some of these factors, most specifically increased precipitation that may affect flood waters and storm water runoff, are most applicable to the cleanup of the site.</w:t>
      </w:r>
    </w:p>
    <w:p w:rsidR="009B3FA1" w:rsidRPr="009B3FA1" w:rsidRDefault="009B3FA1" w:rsidP="009B3FA1">
      <w:pPr>
        <w:rPr>
          <w:spacing w:val="-6"/>
        </w:rPr>
      </w:pPr>
    </w:p>
    <w:p w:rsidR="009B3FA1" w:rsidRPr="009B3FA1" w:rsidRDefault="009B3FA1" w:rsidP="009B3FA1">
      <w:pPr>
        <w:rPr>
          <w:spacing w:val="-6"/>
        </w:rPr>
      </w:pPr>
      <w:r w:rsidRPr="009B3FA1">
        <w:rPr>
          <w:spacing w:val="-6"/>
        </w:rPr>
        <w:t xml:space="preserve">According to FEMA Flood Zone Map 21111C0026E, the Site is located within an area of the Ohio River (see </w:t>
      </w:r>
      <w:r w:rsidRPr="009B3FA1">
        <w:rPr>
          <w:i/>
          <w:iCs/>
          <w:spacing w:val="-6"/>
        </w:rPr>
        <w:t>Attachment B</w:t>
      </w:r>
      <w:r w:rsidRPr="009B3FA1">
        <w:rPr>
          <w:spacing w:val="-6"/>
        </w:rPr>
        <w:t>), where there is a 1% chance of annual flooding. The site is located at a higher elevation than the surrounding land and is less likely to flood. However, greater storm frequency and intensity in a changing climate may result in more frequent and more powerful flood waters within the Ohio River, which may result in changes to the flood zone and increased risk of flooding of the Site.</w:t>
      </w:r>
    </w:p>
    <w:p w:rsidR="009B3FA1" w:rsidRPr="009B3FA1" w:rsidRDefault="009B3FA1" w:rsidP="009B3FA1">
      <w:pPr>
        <w:rPr>
          <w:spacing w:val="-6"/>
        </w:rPr>
      </w:pPr>
    </w:p>
    <w:p w:rsidR="009B3FA1" w:rsidRPr="009B3FA1" w:rsidRDefault="009B3FA1" w:rsidP="009B3FA1">
      <w:pPr>
        <w:rPr>
          <w:spacing w:val="-6"/>
        </w:rPr>
      </w:pPr>
      <w:r w:rsidRPr="009B3FA1">
        <w:rPr>
          <w:spacing w:val="-6"/>
        </w:rPr>
        <w:lastRenderedPageBreak/>
        <w:t>The Site is at a higher elevation than the surrounding property and thus does not receive storm water from off the site.</w:t>
      </w:r>
    </w:p>
    <w:p w:rsidR="009B3FA1" w:rsidRPr="009B3FA1" w:rsidRDefault="009B3FA1" w:rsidP="009B3FA1">
      <w:pPr>
        <w:rPr>
          <w:spacing w:val="-6"/>
        </w:rPr>
      </w:pPr>
    </w:p>
    <w:p w:rsidR="009B3FA1" w:rsidRDefault="009B3FA1" w:rsidP="009B3FA1">
      <w:pPr>
        <w:rPr>
          <w:spacing w:val="-6"/>
        </w:rPr>
      </w:pPr>
      <w:r w:rsidRPr="009B3FA1">
        <w:rPr>
          <w:spacing w:val="-6"/>
        </w:rPr>
        <w:t>Based on the nature of the Site and its proposed reuse, changing temperature, rising sea levels, wildfires, changing dates of ground thaw/freezing, changing ecological zone, saltwater intrusion and changing groundwater table are not likely to significantly effect the Site.</w:t>
      </w:r>
    </w:p>
    <w:p w:rsidR="003D360D" w:rsidRDefault="009B3FA1" w:rsidP="009B3FA1">
      <w:pPr>
        <w:pStyle w:val="Heading3"/>
        <w:numPr>
          <w:ilvl w:val="0"/>
          <w:numId w:val="37"/>
        </w:numPr>
      </w:pPr>
      <w:r w:rsidRPr="003D360D">
        <w:t>Previous Site Use(s) and any previous cleanup/remediation</w:t>
      </w:r>
      <w:bookmarkStart w:id="13" w:name="_Toc496619233"/>
    </w:p>
    <w:p w:rsidR="009B3FA1" w:rsidRPr="003D360D" w:rsidRDefault="009B3FA1" w:rsidP="003D360D">
      <w:pPr>
        <w:rPr>
          <w:rFonts w:cstheme="majorBidi"/>
          <w:b/>
        </w:rPr>
      </w:pPr>
      <w:r w:rsidRPr="003D360D">
        <w:t>The site lies within the boundaries of an area once known as “The Point.” Historically there were numerous homes and cottages located on the subject property.  The area was reported to have been inundated by floodwaters numerous times, including in February 1883, January 1884, 1907, March 1913, and 1937. Following the 1937 flood, the City of Louisville decided to turn a portion of The Point into a city dump, which became the Ohio Street Dump.</w:t>
      </w:r>
      <w:bookmarkEnd w:id="13"/>
    </w:p>
    <w:p w:rsidR="009B3FA1" w:rsidRPr="00BD18E4" w:rsidRDefault="009B3FA1" w:rsidP="009B3FA1">
      <w:pPr>
        <w:pStyle w:val="Heading3"/>
        <w:rPr>
          <w:rFonts w:cs="Tahoma"/>
          <w:b w:val="0"/>
        </w:rPr>
      </w:pPr>
      <w:bookmarkStart w:id="14" w:name="_Toc496619234"/>
      <w:r w:rsidRPr="00BD18E4">
        <w:rPr>
          <w:rFonts w:cs="Tahoma"/>
          <w:b w:val="0"/>
        </w:rPr>
        <w:t>The site was reported to have operated as an open dump during the early years of its operation. Materials placed at the site when the dump was initially established were primarily building refuse from flood-damaged homes. Wild pigs reportedly scavenged the site for food. During World War II, residents of the area scavenged paper, cloth, and metal from the site to sell to recyclers. The City of Louisville allowed private haulers to place municipal waste from communities from outside of Jefferson County at the site beginning in the 1940s. Municipal waste was accepted at the site until the late 1950s or early 1960s. Following the opening of the Meriwether Street Incinerator by the City of Louisville in August 1957, the City of Louisville reportedly disposed of “street maintenance debris, street sweepings, waste soil from sewer/utility repairs, and possibly septic tank pumping’s” at the site.</w:t>
      </w:r>
      <w:bookmarkEnd w:id="14"/>
      <w:r w:rsidRPr="00BD18E4">
        <w:rPr>
          <w:rFonts w:cs="Tahoma"/>
          <w:b w:val="0"/>
        </w:rPr>
        <w:t xml:space="preserve">  </w:t>
      </w:r>
    </w:p>
    <w:p w:rsidR="009B3FA1" w:rsidRPr="00BD18E4" w:rsidRDefault="009B3FA1" w:rsidP="009B3FA1">
      <w:pPr>
        <w:pStyle w:val="Heading3"/>
        <w:rPr>
          <w:rFonts w:cs="Tahoma"/>
          <w:b w:val="0"/>
        </w:rPr>
      </w:pPr>
      <w:bookmarkStart w:id="15" w:name="_Toc496619235"/>
      <w:r w:rsidRPr="00BD18E4">
        <w:rPr>
          <w:rFonts w:cs="Tahoma"/>
          <w:b w:val="0"/>
        </w:rPr>
        <w:t>Fires are reported to have occurred at the site while it was in operation. The City of Louisville’s fire department is reported to have responded to numerous fires at the site in the late 1940s.</w:t>
      </w:r>
      <w:bookmarkEnd w:id="15"/>
      <w:r w:rsidRPr="00BD18E4">
        <w:rPr>
          <w:rFonts w:cs="Tahoma"/>
          <w:b w:val="0"/>
        </w:rPr>
        <w:t xml:space="preserve">  </w:t>
      </w:r>
    </w:p>
    <w:p w:rsidR="009B3FA1" w:rsidRPr="00BD18E4" w:rsidRDefault="009B3FA1" w:rsidP="009B3FA1">
      <w:pPr>
        <w:pStyle w:val="Heading3"/>
        <w:rPr>
          <w:rFonts w:cs="Tahoma"/>
          <w:b w:val="0"/>
        </w:rPr>
      </w:pPr>
      <w:bookmarkStart w:id="16" w:name="_Toc496619236"/>
      <w:r w:rsidRPr="00BD18E4">
        <w:rPr>
          <w:rFonts w:cs="Tahoma"/>
          <w:b w:val="0"/>
        </w:rPr>
        <w:t>Waste transported to the site prior to the 1960s often included hot coals from coal burning furnaces, which resulted in numerous fires at the site that often smoldered for days and were allowed to burn themselves out.</w:t>
      </w:r>
      <w:bookmarkEnd w:id="16"/>
    </w:p>
    <w:p w:rsidR="009B3FA1" w:rsidRDefault="009B3FA1" w:rsidP="009B3FA1">
      <w:pPr>
        <w:pStyle w:val="Heading3"/>
        <w:rPr>
          <w:rFonts w:cs="Tahoma"/>
          <w:b w:val="0"/>
        </w:rPr>
      </w:pPr>
      <w:bookmarkStart w:id="17" w:name="_Toc496619237"/>
      <w:r w:rsidRPr="00BD18E4">
        <w:rPr>
          <w:rFonts w:cs="Tahoma"/>
          <w:b w:val="0"/>
        </w:rPr>
        <w:t>Interstate 71 was constructed bisecting the site in the late 1960s or 1970. The construction divided the site into a north cell and a south cell. Waste along the interstate right of way was excavated and either used as fill off site or placed on top of the north cell. It is unknown whether the waste within the right of way was excavated to native soils or whether waste remains buried within the right of way.</w:t>
      </w:r>
      <w:bookmarkEnd w:id="17"/>
      <w:r w:rsidRPr="00BD18E4">
        <w:rPr>
          <w:rFonts w:cs="Tahoma"/>
          <w:b w:val="0"/>
        </w:rPr>
        <w:t xml:space="preserve">   </w:t>
      </w:r>
    </w:p>
    <w:p w:rsidR="00BD18E4" w:rsidRPr="00BD18E4" w:rsidRDefault="00BD18E4" w:rsidP="00BD18E4"/>
    <w:p w:rsidR="009B3FA1" w:rsidRPr="00BD18E4" w:rsidRDefault="009B3FA1" w:rsidP="009B3FA1">
      <w:r w:rsidRPr="00BD18E4">
        <w:t>The Louisville-Jefferson County Health Department closed the site during the early 1970s when a cap was constructed over the waste.</w:t>
      </w:r>
    </w:p>
    <w:p w:rsidR="009B3FA1" w:rsidRDefault="009B3FA1" w:rsidP="009B3FA1"/>
    <w:p w:rsidR="009B3FA1" w:rsidRPr="00BD18E4" w:rsidRDefault="00BD18E4" w:rsidP="003D360D">
      <w:pPr>
        <w:pStyle w:val="Heading3"/>
        <w:numPr>
          <w:ilvl w:val="0"/>
          <w:numId w:val="37"/>
        </w:numPr>
      </w:pPr>
      <w:r w:rsidRPr="00BD18E4">
        <w:t>Site Assessment Findings</w:t>
      </w:r>
    </w:p>
    <w:p w:rsidR="00BD18E4" w:rsidRPr="00BD18E4" w:rsidRDefault="00BD18E4" w:rsidP="00BD18E4">
      <w:pPr>
        <w:widowControl w:val="0"/>
        <w:autoSpaceDE w:val="0"/>
        <w:autoSpaceDN w:val="0"/>
        <w:adjustRightInd w:val="0"/>
        <w:ind w:right="200"/>
        <w:rPr>
          <w:bCs/>
        </w:rPr>
      </w:pPr>
      <w:r w:rsidRPr="00BD18E4">
        <w:rPr>
          <w:bCs/>
        </w:rPr>
        <w:t>In October of 1994 the Kentucky Division of Waste Management competed a Preliminary Assessment of the site which recommended a Site Investigation (SI).  In the Kentucky Division of Waste Management completed the SI and recommended no further action under CERCLA. It was determined the site did not pose a significant threat to human health.</w:t>
      </w:r>
    </w:p>
    <w:p w:rsidR="00BD18E4" w:rsidRPr="00BD18E4" w:rsidRDefault="00BD18E4" w:rsidP="00BD18E4">
      <w:pPr>
        <w:widowControl w:val="0"/>
        <w:autoSpaceDE w:val="0"/>
        <w:autoSpaceDN w:val="0"/>
        <w:adjustRightInd w:val="0"/>
        <w:ind w:right="200"/>
        <w:rPr>
          <w:bCs/>
        </w:rPr>
      </w:pPr>
    </w:p>
    <w:p w:rsidR="00BD18E4" w:rsidRPr="00BD18E4" w:rsidRDefault="00BD18E4" w:rsidP="00BD18E4">
      <w:pPr>
        <w:widowControl w:val="0"/>
        <w:autoSpaceDE w:val="0"/>
        <w:autoSpaceDN w:val="0"/>
        <w:adjustRightInd w:val="0"/>
        <w:ind w:right="200"/>
        <w:rPr>
          <w:bCs/>
        </w:rPr>
      </w:pPr>
      <w:r w:rsidRPr="00BD18E4">
        <w:rPr>
          <w:bCs/>
        </w:rPr>
        <w:t>In April of 2013 Stantec Consulting Services prepared a Phase I Study of the site as part of Kentucky’s “Orphan Landfill” program.  This comprehensive report provided the history of the site and made recommendations to manage the property as a solid waste landfill.</w:t>
      </w:r>
    </w:p>
    <w:p w:rsidR="00BD18E4" w:rsidRPr="00BD18E4" w:rsidRDefault="00BD18E4" w:rsidP="00BD18E4">
      <w:pPr>
        <w:widowControl w:val="0"/>
        <w:autoSpaceDE w:val="0"/>
        <w:autoSpaceDN w:val="0"/>
        <w:adjustRightInd w:val="0"/>
        <w:ind w:right="200"/>
        <w:rPr>
          <w:bCs/>
        </w:rPr>
      </w:pPr>
    </w:p>
    <w:p w:rsidR="00BD18E4" w:rsidRPr="00BD18E4" w:rsidRDefault="00BD18E4" w:rsidP="00BD18E4">
      <w:pPr>
        <w:widowControl w:val="0"/>
        <w:autoSpaceDE w:val="0"/>
        <w:autoSpaceDN w:val="0"/>
        <w:adjustRightInd w:val="0"/>
        <w:ind w:right="200"/>
        <w:rPr>
          <w:bCs/>
        </w:rPr>
      </w:pPr>
      <w:r w:rsidRPr="00BD18E4">
        <w:rPr>
          <w:bCs/>
        </w:rPr>
        <w:t>In November of 2013 Environmental Technology prepared a Site Characterization/Risk Management Plan for Botanica.  This plan set out the process to redevelop the site as a botanical garden.  This remedial work recommended was enhancing and maintaining the existing cap.  Future development will include cap materials and engineered drainage control that will limit surface water infiltration into the landfill.</w:t>
      </w:r>
    </w:p>
    <w:p w:rsidR="00BD18E4" w:rsidRPr="00BD18E4" w:rsidRDefault="00BD18E4" w:rsidP="00BD18E4">
      <w:pPr>
        <w:widowControl w:val="0"/>
        <w:autoSpaceDE w:val="0"/>
        <w:autoSpaceDN w:val="0"/>
        <w:adjustRightInd w:val="0"/>
        <w:ind w:right="200"/>
        <w:rPr>
          <w:bCs/>
        </w:rPr>
      </w:pPr>
    </w:p>
    <w:p w:rsidR="00BD18E4" w:rsidRPr="00BD18E4" w:rsidRDefault="00BD18E4" w:rsidP="00BD18E4">
      <w:pPr>
        <w:widowControl w:val="0"/>
        <w:autoSpaceDE w:val="0"/>
        <w:autoSpaceDN w:val="0"/>
        <w:adjustRightInd w:val="0"/>
        <w:ind w:right="200"/>
        <w:rPr>
          <w:bCs/>
        </w:rPr>
      </w:pPr>
      <w:r w:rsidRPr="00BD18E4">
        <w:rPr>
          <w:bCs/>
        </w:rPr>
        <w:t>In April of 2017 the Kentucky Division of Waste Management prepared Phase I Environmental Site Assessment for Waterfront Botanical Gardens. The entire site was found to be a Controlled Recognized Environmental Condition.  Based on the amount of data and sampling already conducted a Phase II ESA was not needed.</w:t>
      </w:r>
    </w:p>
    <w:p w:rsidR="009B3FA1" w:rsidRDefault="009B3FA1" w:rsidP="009B3FA1"/>
    <w:p w:rsidR="00BD18E4" w:rsidRDefault="00BD18E4" w:rsidP="003D360D">
      <w:pPr>
        <w:pStyle w:val="Heading3"/>
        <w:numPr>
          <w:ilvl w:val="0"/>
          <w:numId w:val="37"/>
        </w:numPr>
      </w:pPr>
      <w:r w:rsidRPr="00BD18E4">
        <w:t>Project Goal</w:t>
      </w:r>
    </w:p>
    <w:p w:rsidR="00BD18E4" w:rsidRDefault="00BD18E4" w:rsidP="00BD18E4">
      <w:pPr>
        <w:tabs>
          <w:tab w:val="left" w:pos="1620"/>
        </w:tabs>
        <w:rPr>
          <w:color w:val="000000"/>
        </w:rPr>
      </w:pPr>
      <w:r w:rsidRPr="008508AC">
        <w:rPr>
          <w:color w:val="000000"/>
        </w:rPr>
        <w:t xml:space="preserve">The site is planned to be developed as a botanical garden, by a private organization known as “Botanica.” The proposed future use of the site is a public botanical garden. The garden features and public areas would be located mainly on the flat, upper part of the site.  Conceptually, the facility would include a domed conservatory, outdoor gardens, greenhouses, a gift shop, library, auditorium, butterfly house and parking lot. Access to the facility would likely be from Frankfort Avenue.  The final design of all park features will be based on engineering and geotechnical studies to avoid possible subsidence issues, methane gas, and any other potential hazards associated with the former use of the site.    </w:t>
      </w:r>
    </w:p>
    <w:p w:rsidR="00BD18E4" w:rsidRPr="008508AC" w:rsidRDefault="00BD18E4" w:rsidP="00BD18E4">
      <w:pPr>
        <w:tabs>
          <w:tab w:val="left" w:pos="1620"/>
        </w:tabs>
        <w:rPr>
          <w:color w:val="000000"/>
        </w:rPr>
      </w:pPr>
    </w:p>
    <w:p w:rsidR="00BD18E4" w:rsidRPr="00BD18E4" w:rsidRDefault="00BD18E4" w:rsidP="00BD18E4">
      <w:pPr>
        <w:widowControl w:val="0"/>
        <w:tabs>
          <w:tab w:val="left" w:pos="1620"/>
        </w:tabs>
        <w:autoSpaceDE w:val="0"/>
        <w:autoSpaceDN w:val="0"/>
        <w:adjustRightInd w:val="0"/>
        <w:ind w:right="237"/>
        <w:rPr>
          <w:sz w:val="28"/>
          <w:szCs w:val="28"/>
        </w:rPr>
      </w:pPr>
      <w:r w:rsidRPr="008508AC">
        <w:t>The</w:t>
      </w:r>
      <w:r w:rsidRPr="008508AC">
        <w:rPr>
          <w:spacing w:val="-1"/>
        </w:rPr>
        <w:t xml:space="preserve"> </w:t>
      </w:r>
      <w:r w:rsidRPr="008508AC">
        <w:t>pro</w:t>
      </w:r>
      <w:r w:rsidRPr="008508AC">
        <w:rPr>
          <w:spacing w:val="-1"/>
        </w:rPr>
        <w:t>pe</w:t>
      </w:r>
      <w:r w:rsidRPr="008508AC">
        <w:t>r</w:t>
      </w:r>
      <w:r w:rsidRPr="008508AC">
        <w:rPr>
          <w:spacing w:val="4"/>
        </w:rPr>
        <w:t>t</w:t>
      </w:r>
      <w:r w:rsidRPr="008508AC">
        <w:t>y</w:t>
      </w:r>
      <w:r w:rsidRPr="008508AC">
        <w:rPr>
          <w:spacing w:val="-5"/>
        </w:rPr>
        <w:t xml:space="preserve"> </w:t>
      </w:r>
      <w:r w:rsidRPr="008508AC">
        <w:t xml:space="preserve">is not </w:t>
      </w:r>
      <w:r w:rsidRPr="008508AC">
        <w:rPr>
          <w:spacing w:val="2"/>
        </w:rPr>
        <w:t>z</w:t>
      </w:r>
      <w:r w:rsidRPr="008508AC">
        <w:t>on</w:t>
      </w:r>
      <w:r w:rsidRPr="008508AC">
        <w:rPr>
          <w:spacing w:val="1"/>
        </w:rPr>
        <w:t>e</w:t>
      </w:r>
      <w:r w:rsidRPr="008508AC">
        <w:t>d for</w:t>
      </w:r>
      <w:r w:rsidRPr="008508AC">
        <w:rPr>
          <w:spacing w:val="-1"/>
        </w:rPr>
        <w:t xml:space="preserve"> </w:t>
      </w:r>
      <w:r w:rsidRPr="008508AC">
        <w:t>sin</w:t>
      </w:r>
      <w:r w:rsidRPr="008508AC">
        <w:rPr>
          <w:spacing w:val="-2"/>
        </w:rPr>
        <w:t>g</w:t>
      </w:r>
      <w:r w:rsidRPr="008508AC">
        <w:rPr>
          <w:spacing w:val="3"/>
        </w:rPr>
        <w:t>l</w:t>
      </w:r>
      <w:r w:rsidRPr="008508AC">
        <w:t>e</w:t>
      </w:r>
      <w:r w:rsidRPr="008508AC">
        <w:rPr>
          <w:spacing w:val="-1"/>
        </w:rPr>
        <w:t xml:space="preserve"> </w:t>
      </w:r>
      <w:r w:rsidRPr="008508AC">
        <w:t>f</w:t>
      </w:r>
      <w:r w:rsidRPr="008508AC">
        <w:rPr>
          <w:spacing w:val="-2"/>
        </w:rPr>
        <w:t>a</w:t>
      </w:r>
      <w:r w:rsidRPr="008508AC">
        <w:t>m</w:t>
      </w:r>
      <w:r w:rsidRPr="008508AC">
        <w:rPr>
          <w:spacing w:val="1"/>
        </w:rPr>
        <w:t>i</w:t>
      </w:r>
      <w:r w:rsidRPr="008508AC">
        <w:rPr>
          <w:spacing w:val="5"/>
        </w:rPr>
        <w:t>l</w:t>
      </w:r>
      <w:r w:rsidRPr="008508AC">
        <w:t>y</w:t>
      </w:r>
      <w:r w:rsidRPr="008508AC">
        <w:rPr>
          <w:spacing w:val="-5"/>
        </w:rPr>
        <w:t xml:space="preserve"> </w:t>
      </w:r>
      <w:r w:rsidRPr="008508AC">
        <w:t>dw</w:t>
      </w:r>
      <w:r w:rsidRPr="008508AC">
        <w:rPr>
          <w:spacing w:val="-1"/>
        </w:rPr>
        <w:t>e</w:t>
      </w:r>
      <w:r w:rsidRPr="008508AC">
        <w:t>l</w:t>
      </w:r>
      <w:r w:rsidRPr="008508AC">
        <w:rPr>
          <w:spacing w:val="1"/>
        </w:rPr>
        <w:t>l</w:t>
      </w:r>
      <w:r w:rsidRPr="008508AC">
        <w:rPr>
          <w:spacing w:val="3"/>
        </w:rPr>
        <w:t>i</w:t>
      </w:r>
      <w:r w:rsidRPr="008508AC">
        <w:t>n</w:t>
      </w:r>
      <w:r w:rsidRPr="008508AC">
        <w:rPr>
          <w:spacing w:val="-2"/>
        </w:rPr>
        <w:t>g</w:t>
      </w:r>
      <w:r w:rsidRPr="008508AC">
        <w:t xml:space="preserve">s </w:t>
      </w:r>
      <w:r w:rsidRPr="008508AC">
        <w:rPr>
          <w:spacing w:val="-1"/>
        </w:rPr>
        <w:t>a</w:t>
      </w:r>
      <w:r w:rsidRPr="008508AC">
        <w:t>nd</w:t>
      </w:r>
      <w:r w:rsidRPr="008508AC">
        <w:rPr>
          <w:spacing w:val="3"/>
        </w:rPr>
        <w:t xml:space="preserve"> </w:t>
      </w:r>
      <w:r w:rsidRPr="008508AC">
        <w:t>Botanica do</w:t>
      </w:r>
      <w:r w:rsidRPr="008508AC">
        <w:rPr>
          <w:spacing w:val="-1"/>
        </w:rPr>
        <w:t>e</w:t>
      </w:r>
      <w:r w:rsidRPr="008508AC">
        <w:t xml:space="preserve">s </w:t>
      </w:r>
      <w:r w:rsidRPr="008508AC">
        <w:rPr>
          <w:spacing w:val="2"/>
        </w:rPr>
        <w:t>n</w:t>
      </w:r>
      <w:r w:rsidRPr="008508AC">
        <w:t>ot fo</w:t>
      </w:r>
      <w:r w:rsidRPr="008508AC">
        <w:rPr>
          <w:spacing w:val="-1"/>
        </w:rPr>
        <w:t>re</w:t>
      </w:r>
      <w:r w:rsidRPr="008508AC">
        <w:t>s</w:t>
      </w:r>
      <w:r w:rsidRPr="008508AC">
        <w:rPr>
          <w:spacing w:val="-1"/>
        </w:rPr>
        <w:t>e</w:t>
      </w:r>
      <w:r w:rsidRPr="008508AC">
        <w:t>e</w:t>
      </w:r>
      <w:r w:rsidRPr="008508AC">
        <w:rPr>
          <w:spacing w:val="1"/>
        </w:rPr>
        <w:t xml:space="preserve"> </w:t>
      </w:r>
      <w:r w:rsidRPr="008508AC">
        <w:rPr>
          <w:spacing w:val="-1"/>
        </w:rPr>
        <w:t>a</w:t>
      </w:r>
      <w:r w:rsidRPr="008508AC">
        <w:rPr>
          <w:spacing w:val="5"/>
        </w:rPr>
        <w:t>n</w:t>
      </w:r>
      <w:r w:rsidRPr="008508AC">
        <w:t>y futu</w:t>
      </w:r>
      <w:r w:rsidRPr="008508AC">
        <w:rPr>
          <w:spacing w:val="-1"/>
        </w:rPr>
        <w:t>r</w:t>
      </w:r>
      <w:r w:rsidRPr="008508AC">
        <w:t>e</w:t>
      </w:r>
      <w:r w:rsidRPr="008508AC">
        <w:rPr>
          <w:spacing w:val="-1"/>
        </w:rPr>
        <w:t xml:space="preserve"> </w:t>
      </w:r>
      <w:r w:rsidRPr="008508AC">
        <w:t>r</w:t>
      </w:r>
      <w:r w:rsidRPr="008508AC">
        <w:rPr>
          <w:spacing w:val="-2"/>
        </w:rPr>
        <w:t>e</w:t>
      </w:r>
      <w:r>
        <w:t>s</w:t>
      </w:r>
      <w:r w:rsidRPr="008508AC">
        <w:t>i</w:t>
      </w:r>
      <w:r w:rsidRPr="008508AC">
        <w:rPr>
          <w:spacing w:val="3"/>
        </w:rPr>
        <w:t>d</w:t>
      </w:r>
      <w:r w:rsidRPr="008508AC">
        <w:rPr>
          <w:spacing w:val="-1"/>
        </w:rPr>
        <w:t>e</w:t>
      </w:r>
      <w:r w:rsidRPr="008508AC">
        <w:t>nt</w:t>
      </w:r>
      <w:r w:rsidRPr="008508AC">
        <w:rPr>
          <w:spacing w:val="1"/>
        </w:rPr>
        <w:t>i</w:t>
      </w:r>
      <w:r w:rsidRPr="008508AC">
        <w:rPr>
          <w:spacing w:val="-1"/>
        </w:rPr>
        <w:t>a</w:t>
      </w:r>
      <w:r w:rsidRPr="008508AC">
        <w:t>l use of</w:t>
      </w:r>
      <w:r w:rsidRPr="008508AC">
        <w:rPr>
          <w:spacing w:val="-1"/>
        </w:rPr>
        <w:t xml:space="preserve"> </w:t>
      </w:r>
      <w:r w:rsidRPr="008508AC">
        <w:rPr>
          <w:spacing w:val="3"/>
        </w:rPr>
        <w:t>t</w:t>
      </w:r>
      <w:r w:rsidRPr="008508AC">
        <w:t>he</w:t>
      </w:r>
      <w:r w:rsidRPr="008508AC">
        <w:rPr>
          <w:spacing w:val="-1"/>
        </w:rPr>
        <w:t xml:space="preserve"> </w:t>
      </w:r>
      <w:r w:rsidRPr="008508AC">
        <w:t>pro</w:t>
      </w:r>
      <w:r w:rsidRPr="008508AC">
        <w:rPr>
          <w:spacing w:val="-1"/>
        </w:rPr>
        <w:t>pe</w:t>
      </w:r>
      <w:r w:rsidRPr="008508AC">
        <w:t>r</w:t>
      </w:r>
      <w:r w:rsidRPr="008508AC">
        <w:rPr>
          <w:spacing w:val="4"/>
        </w:rPr>
        <w:t>t</w:t>
      </w:r>
      <w:r w:rsidRPr="008508AC">
        <w:rPr>
          <w:spacing w:val="-5"/>
        </w:rPr>
        <w:t>y</w:t>
      </w:r>
      <w:r w:rsidRPr="008508AC">
        <w:t>.</w:t>
      </w:r>
    </w:p>
    <w:p w:rsidR="00BD18E4" w:rsidRPr="00BD18E4" w:rsidRDefault="00BD18E4" w:rsidP="00BD18E4">
      <w:pPr>
        <w:rPr>
          <w:sz w:val="28"/>
          <w:szCs w:val="28"/>
        </w:rPr>
      </w:pPr>
    </w:p>
    <w:p w:rsidR="00BD18E4" w:rsidRDefault="00BD18E4" w:rsidP="00CA1BB0">
      <w:pPr>
        <w:pStyle w:val="Heading2"/>
      </w:pPr>
      <w:bookmarkStart w:id="18" w:name="_Toc496619238"/>
      <w:r w:rsidRPr="00BD18E4">
        <w:lastRenderedPageBreak/>
        <w:t>II.</w:t>
      </w:r>
      <w:r w:rsidRPr="00CA1BB0">
        <w:tab/>
        <w:t>Applicable Regulations and Cleanup Standards</w:t>
      </w:r>
      <w:bookmarkEnd w:id="18"/>
    </w:p>
    <w:p w:rsidR="00BD18E4" w:rsidRPr="00BD18E4" w:rsidRDefault="00BD18E4" w:rsidP="00BD18E4">
      <w:pPr>
        <w:pStyle w:val="Heading3"/>
        <w:numPr>
          <w:ilvl w:val="0"/>
          <w:numId w:val="34"/>
        </w:numPr>
      </w:pPr>
      <w:bookmarkStart w:id="19" w:name="_Toc496619239"/>
      <w:r w:rsidRPr="00BD18E4">
        <w:t>Cl</w:t>
      </w:r>
      <w:r w:rsidRPr="00BD18E4">
        <w:rPr>
          <w:spacing w:val="-1"/>
        </w:rPr>
        <w:t>e</w:t>
      </w:r>
      <w:r w:rsidRPr="00BD18E4">
        <w:t>a</w:t>
      </w:r>
      <w:r w:rsidRPr="00BD18E4">
        <w:rPr>
          <w:spacing w:val="1"/>
        </w:rPr>
        <w:t>nu</w:t>
      </w:r>
      <w:r w:rsidRPr="00BD18E4">
        <w:t>p</w:t>
      </w:r>
      <w:r w:rsidRPr="00BD18E4">
        <w:rPr>
          <w:spacing w:val="1"/>
        </w:rPr>
        <w:t xml:space="preserve"> </w:t>
      </w:r>
      <w:r w:rsidRPr="00BD18E4">
        <w:t>Ove</w:t>
      </w:r>
      <w:r w:rsidRPr="00BD18E4">
        <w:rPr>
          <w:spacing w:val="-1"/>
        </w:rPr>
        <w:t>r</w:t>
      </w:r>
      <w:r w:rsidRPr="00BD18E4">
        <w:t>sig</w:t>
      </w:r>
      <w:r w:rsidRPr="00BD18E4">
        <w:rPr>
          <w:spacing w:val="1"/>
        </w:rPr>
        <w:t>h</w:t>
      </w:r>
      <w:r w:rsidRPr="00BD18E4">
        <w:t xml:space="preserve">t </w:t>
      </w:r>
      <w:r w:rsidRPr="00BD18E4">
        <w:rPr>
          <w:spacing w:val="-1"/>
        </w:rPr>
        <w:t>Re</w:t>
      </w:r>
      <w:r w:rsidRPr="00BD18E4">
        <w:t>s</w:t>
      </w:r>
      <w:r w:rsidRPr="00BD18E4">
        <w:rPr>
          <w:spacing w:val="1"/>
        </w:rPr>
        <w:t>p</w:t>
      </w:r>
      <w:r w:rsidRPr="00BD18E4">
        <w:t>o</w:t>
      </w:r>
      <w:r w:rsidRPr="00BD18E4">
        <w:rPr>
          <w:spacing w:val="1"/>
        </w:rPr>
        <w:t>n</w:t>
      </w:r>
      <w:r w:rsidRPr="00BD18E4">
        <w:t>si</w:t>
      </w:r>
      <w:r w:rsidRPr="00BD18E4">
        <w:rPr>
          <w:spacing w:val="-1"/>
        </w:rPr>
        <w:t>b</w:t>
      </w:r>
      <w:r w:rsidRPr="00BD18E4">
        <w:t>i</w:t>
      </w:r>
      <w:r w:rsidRPr="00BD18E4">
        <w:rPr>
          <w:spacing w:val="1"/>
        </w:rPr>
        <w:t>l</w:t>
      </w:r>
      <w:r w:rsidRPr="00BD18E4">
        <w:t>ity</w:t>
      </w:r>
      <w:bookmarkEnd w:id="19"/>
    </w:p>
    <w:p w:rsidR="00BD18E4" w:rsidRDefault="00BD18E4" w:rsidP="00BD18E4">
      <w:r>
        <w:t>The cleanup will be overseen by the Kentucky Department for Environmental Protection (KDEP). All documents prepared for this site are submitted to the state environmental department under Agency Interest # 52215.</w:t>
      </w:r>
    </w:p>
    <w:p w:rsidR="00BD18E4" w:rsidRPr="00BD18E4" w:rsidRDefault="00BD18E4" w:rsidP="00BD18E4">
      <w:pPr>
        <w:pStyle w:val="Heading3"/>
        <w:numPr>
          <w:ilvl w:val="0"/>
          <w:numId w:val="34"/>
        </w:numPr>
      </w:pPr>
      <w:bookmarkStart w:id="20" w:name="_Toc496619240"/>
      <w:r w:rsidRPr="00BD18E4">
        <w:t>Cleanup Standards for major contaminants</w:t>
      </w:r>
      <w:bookmarkEnd w:id="20"/>
      <w:r w:rsidRPr="00BD18E4">
        <w:t xml:space="preserve"> </w:t>
      </w:r>
    </w:p>
    <w:p w:rsidR="00BD18E4" w:rsidRDefault="00BD18E4" w:rsidP="00BD18E4">
      <w:r>
        <w:t>It is anticipated that risk-based cleanup standards will be generated for compounds of concern, in accordance with state regulations.</w:t>
      </w:r>
    </w:p>
    <w:p w:rsidR="00BD18E4" w:rsidRDefault="00BD18E4" w:rsidP="00BD18E4">
      <w:pPr>
        <w:pStyle w:val="Heading3"/>
        <w:numPr>
          <w:ilvl w:val="0"/>
          <w:numId w:val="34"/>
        </w:numPr>
      </w:pPr>
      <w:bookmarkStart w:id="21" w:name="_Toc496619241"/>
      <w:r>
        <w:t>Laws &amp; Regulations Applicable to the Cleanup</w:t>
      </w:r>
      <w:bookmarkEnd w:id="21"/>
      <w:r>
        <w:t xml:space="preserve"> </w:t>
      </w:r>
    </w:p>
    <w:p w:rsidR="00BD18E4" w:rsidRDefault="00BD18E4" w:rsidP="00BD18E4">
      <w:r>
        <w:t>Laws and regulations that are applicable to this cleanup include the Federal Small</w:t>
      </w:r>
    </w:p>
    <w:p w:rsidR="00BD18E4" w:rsidRDefault="00BD18E4" w:rsidP="00BD18E4">
      <w:r>
        <w:t>Business Liability Relief and Brownfields Revitalization Act, the Federal Davis-Bacon Act, and state environmental laws.  Federal, state, and local laws regarding procurement of contractors to conduct the cleanup will be followed.</w:t>
      </w:r>
    </w:p>
    <w:p w:rsidR="00BD18E4" w:rsidRDefault="00BD18E4" w:rsidP="00BD18E4">
      <w:r>
        <w:t xml:space="preserve"> </w:t>
      </w:r>
    </w:p>
    <w:p w:rsidR="00BD18E4" w:rsidRDefault="00BD18E4" w:rsidP="00BD18E4">
      <w:r>
        <w:t>In addition, all appropriate permits (e.g., notify before you dig, soil transport/disposal manifests) will be obtained prior to the work commencing.</w:t>
      </w:r>
    </w:p>
    <w:p w:rsidR="00BD18E4" w:rsidRDefault="00BD18E4" w:rsidP="00BD18E4"/>
    <w:p w:rsidR="00BD18E4" w:rsidRDefault="00BD18E4" w:rsidP="00BD18E4">
      <w:pPr>
        <w:pStyle w:val="Heading2"/>
      </w:pPr>
      <w:bookmarkStart w:id="22" w:name="_Toc496619242"/>
      <w:r>
        <w:t>III.</w:t>
      </w:r>
      <w:r>
        <w:tab/>
        <w:t>Cleanup Alternatives</w:t>
      </w:r>
      <w:bookmarkEnd w:id="22"/>
    </w:p>
    <w:p w:rsidR="00BD18E4" w:rsidRDefault="00BD18E4" w:rsidP="00BD18E4">
      <w:r>
        <w:t>a</w:t>
      </w:r>
      <w:r w:rsidRPr="00BD18E4">
        <w:rPr>
          <w:rStyle w:val="Heading3Char"/>
        </w:rPr>
        <w:t>.   Cleanup Alternatives Considered</w:t>
      </w:r>
      <w:r>
        <w:t xml:space="preserve"> </w:t>
      </w:r>
    </w:p>
    <w:p w:rsidR="00BD18E4" w:rsidRDefault="00BD18E4" w:rsidP="00BD18E4">
      <w:r>
        <w:t>To address contamination at the Site, three different alternatives were considered,</w:t>
      </w:r>
    </w:p>
    <w:p w:rsidR="00BD18E4" w:rsidRDefault="00BD18E4" w:rsidP="00BD18E4">
      <w:r>
        <w:t xml:space="preserve">including Alternative #1: No Action, Alternative #2: </w:t>
      </w:r>
      <w:r w:rsidR="00B82A6E">
        <w:t>Maintaining the existing cap</w:t>
      </w:r>
      <w:r w:rsidR="00B93C35">
        <w:t xml:space="preserve"> with additional soil vapor protection</w:t>
      </w:r>
      <w:r>
        <w:t>, and Alternative #3: Excavation with Offsite Disposal.</w:t>
      </w:r>
    </w:p>
    <w:p w:rsidR="00BD18E4" w:rsidRDefault="00BD18E4" w:rsidP="00BD18E4"/>
    <w:p w:rsidR="00BD18E4" w:rsidRDefault="00BD18E4" w:rsidP="00BD18E4">
      <w:r>
        <w:t>b</w:t>
      </w:r>
      <w:r w:rsidRPr="00BD18E4">
        <w:rPr>
          <w:rStyle w:val="Heading3Char"/>
        </w:rPr>
        <w:t>.   Evaluation of Cleanup Alternatives</w:t>
      </w:r>
      <w:r>
        <w:t xml:space="preserve"> </w:t>
      </w:r>
    </w:p>
    <w:p w:rsidR="00BD18E4" w:rsidRDefault="00BD18E4" w:rsidP="00BD18E4">
      <w:r>
        <w:t>To satisfy EPA requirements, the effectiveness, implementability, and cost of each</w:t>
      </w:r>
    </w:p>
    <w:p w:rsidR="00BD18E4" w:rsidRDefault="00BD18E4" w:rsidP="00BD18E4">
      <w:r>
        <w:t>alternative must be considered prior to selecting a recommended cleanup alternative.</w:t>
      </w:r>
    </w:p>
    <w:p w:rsidR="00BD18E4" w:rsidRDefault="00BD18E4" w:rsidP="00BD18E4"/>
    <w:p w:rsidR="00BD18E4" w:rsidRDefault="00BD18E4" w:rsidP="00BD18E4">
      <w:r>
        <w:t xml:space="preserve">Effectiveness </w:t>
      </w:r>
      <w:r w:rsidR="00792362">
        <w:t>– Including</w:t>
      </w:r>
      <w:r>
        <w:t xml:space="preserve"> Climate Change Considerations</w:t>
      </w:r>
    </w:p>
    <w:p w:rsidR="00792362" w:rsidRDefault="00792362" w:rsidP="00BD18E4"/>
    <w:p w:rsidR="00BD18E4" w:rsidRDefault="00BD18E4" w:rsidP="00BD18E4">
      <w:r>
        <w:t>•</w:t>
      </w:r>
      <w:r>
        <w:tab/>
      </w:r>
      <w:r w:rsidR="00CA1BB0">
        <w:t>Alternative</w:t>
      </w:r>
      <w:r>
        <w:t xml:space="preserve"> #1: No Action is not effective in controlling or preventing the exposure of receptors to contamination at the Site.</w:t>
      </w:r>
    </w:p>
    <w:p w:rsidR="00792362" w:rsidRDefault="00792362" w:rsidP="00BD18E4"/>
    <w:p w:rsidR="00BD18E4" w:rsidRDefault="00BD18E4" w:rsidP="00792362">
      <w:r>
        <w:t>•</w:t>
      </w:r>
      <w:r>
        <w:tab/>
        <w:t xml:space="preserve">Alternative #2: Capping is an effective way to prevent recreational receptors from coming into direct contact with contaminated soils, if the cap is maintained.  </w:t>
      </w:r>
      <w:r w:rsidR="00B93C35">
        <w:t>T</w:t>
      </w:r>
      <w:r>
        <w:t xml:space="preserve">o </w:t>
      </w:r>
      <w:r w:rsidR="00B82A6E">
        <w:t>address</w:t>
      </w:r>
      <w:r>
        <w:t xml:space="preserve"> the vapor intrusion risk, the capping alternative must also include installation of a system </w:t>
      </w:r>
      <w:r w:rsidR="00B93C35">
        <w:t>to mitigate vapors in any structures on the site</w:t>
      </w:r>
      <w:r>
        <w:t>. In addition, an institutional control (</w:t>
      </w:r>
      <w:r w:rsidR="00B93C35">
        <w:t>an Environmental Covenant</w:t>
      </w:r>
      <w:r>
        <w:t>) would need to be recorded on the deed to prevent residential use of the property.</w:t>
      </w:r>
    </w:p>
    <w:p w:rsidR="00BD18E4" w:rsidRDefault="00BD18E4" w:rsidP="00BD18E4"/>
    <w:p w:rsidR="00BD18E4" w:rsidRDefault="00792362" w:rsidP="00BD18E4">
      <w:r>
        <w:t xml:space="preserve"> </w:t>
      </w:r>
      <w:r w:rsidR="00BD18E4">
        <w:t>•</w:t>
      </w:r>
      <w:r w:rsidR="00BD18E4">
        <w:tab/>
        <w:t>Alternative #3: Excavation with Offsite Disposal is an effective way to eliminate risk at the Site, since contamination will be removed and the exposure pathways will no longer exist.</w:t>
      </w:r>
    </w:p>
    <w:p w:rsidR="00BD18E4" w:rsidRDefault="00BD18E4" w:rsidP="00BD18E4"/>
    <w:p w:rsidR="00BD18E4" w:rsidRDefault="00BD18E4" w:rsidP="00BD18E4"/>
    <w:p w:rsidR="00BD18E4" w:rsidRPr="00792362" w:rsidRDefault="00BD18E4" w:rsidP="00BD18E4">
      <w:r w:rsidRPr="00792362">
        <w:t>Implementability</w:t>
      </w:r>
    </w:p>
    <w:p w:rsidR="00792362" w:rsidRDefault="00BD18E4" w:rsidP="004D649A">
      <w:pPr>
        <w:pStyle w:val="ListParagraph"/>
        <w:numPr>
          <w:ilvl w:val="0"/>
          <w:numId w:val="35"/>
        </w:numPr>
        <w:rPr>
          <w:rFonts w:ascii="Tahoma" w:hAnsi="Tahoma" w:cs="Tahoma"/>
          <w:sz w:val="24"/>
          <w:szCs w:val="24"/>
        </w:rPr>
      </w:pPr>
      <w:r w:rsidRPr="00792362">
        <w:rPr>
          <w:rFonts w:ascii="Tahoma" w:hAnsi="Tahoma" w:cs="Tahoma"/>
          <w:sz w:val="24"/>
          <w:szCs w:val="24"/>
        </w:rPr>
        <w:t>Alternative #1: No Action is easy to implement since no actions will be conducted.</w:t>
      </w:r>
    </w:p>
    <w:p w:rsidR="00B82A6E" w:rsidRPr="00792362" w:rsidRDefault="00B82A6E" w:rsidP="00B82A6E">
      <w:pPr>
        <w:pStyle w:val="ListParagraph"/>
        <w:rPr>
          <w:rFonts w:ascii="Tahoma" w:hAnsi="Tahoma" w:cs="Tahoma"/>
          <w:sz w:val="24"/>
          <w:szCs w:val="24"/>
        </w:rPr>
      </w:pPr>
    </w:p>
    <w:p w:rsidR="00792362" w:rsidRPr="00792362" w:rsidRDefault="00792362" w:rsidP="004D649A">
      <w:pPr>
        <w:pStyle w:val="ListParagraph"/>
        <w:numPr>
          <w:ilvl w:val="0"/>
          <w:numId w:val="35"/>
        </w:numPr>
        <w:rPr>
          <w:rFonts w:ascii="Tahoma" w:hAnsi="Tahoma" w:cs="Tahoma"/>
          <w:sz w:val="24"/>
          <w:szCs w:val="24"/>
        </w:rPr>
      </w:pPr>
      <w:r w:rsidRPr="00792362">
        <w:rPr>
          <w:rFonts w:ascii="Tahoma" w:hAnsi="Tahoma" w:cs="Tahoma"/>
          <w:sz w:val="24"/>
          <w:szCs w:val="24"/>
        </w:rPr>
        <w:t>A</w:t>
      </w:r>
      <w:r w:rsidR="00BD18E4" w:rsidRPr="00792362">
        <w:rPr>
          <w:rFonts w:ascii="Tahoma" w:hAnsi="Tahoma" w:cs="Tahoma"/>
          <w:sz w:val="24"/>
          <w:szCs w:val="24"/>
        </w:rPr>
        <w:t>lternative</w:t>
      </w:r>
      <w:r w:rsidR="00CA1BB0" w:rsidRPr="00CA1BB0">
        <w:rPr>
          <w:rFonts w:ascii="Tahoma" w:hAnsi="Tahoma" w:cs="Tahoma"/>
          <w:sz w:val="24"/>
          <w:szCs w:val="24"/>
        </w:rPr>
        <w:t xml:space="preserve"> #2: </w:t>
      </w:r>
      <w:r w:rsidR="00B82A6E">
        <w:rPr>
          <w:rFonts w:ascii="Tahoma" w:hAnsi="Tahoma" w:cs="Tahoma"/>
          <w:sz w:val="24"/>
          <w:szCs w:val="24"/>
        </w:rPr>
        <w:t>Maintaining the existing cap</w:t>
      </w:r>
      <w:r w:rsidR="00CA1BB0" w:rsidRPr="00CA1BB0">
        <w:rPr>
          <w:rFonts w:ascii="Tahoma" w:hAnsi="Tahoma" w:cs="Tahoma"/>
          <w:sz w:val="24"/>
          <w:szCs w:val="24"/>
        </w:rPr>
        <w:t xml:space="preserve"> with additional soil vapor protections</w:t>
      </w:r>
      <w:r w:rsidR="00CA1BB0">
        <w:rPr>
          <w:rFonts w:ascii="Tahoma" w:hAnsi="Tahoma" w:cs="Tahoma"/>
          <w:sz w:val="24"/>
          <w:szCs w:val="24"/>
        </w:rPr>
        <w:t xml:space="preserve"> </w:t>
      </w:r>
      <w:r w:rsidR="00BD18E4" w:rsidRPr="00792362">
        <w:rPr>
          <w:rFonts w:ascii="Tahoma" w:hAnsi="Tahoma" w:cs="Tahoma"/>
          <w:sz w:val="24"/>
          <w:szCs w:val="24"/>
        </w:rPr>
        <w:t xml:space="preserve">is relatively easy to implement, although ongoing monitoring and maintenance of the cap will require periodic coordination and reporting.    </w:t>
      </w:r>
    </w:p>
    <w:p w:rsidR="00BD18E4" w:rsidRDefault="00BD18E4" w:rsidP="00792362">
      <w:pPr>
        <w:ind w:left="720"/>
      </w:pPr>
      <w:r>
        <w:t xml:space="preserve">In addition, this alternative requires the installation and monitoring of a </w:t>
      </w:r>
      <w:r w:rsidR="00B93C35">
        <w:t xml:space="preserve">vapor mitigation </w:t>
      </w:r>
      <w:r>
        <w:t xml:space="preserve">system on </w:t>
      </w:r>
      <w:r w:rsidR="00B93C35">
        <w:t>any buildings</w:t>
      </w:r>
      <w:r>
        <w:t xml:space="preserve"> and the implementation of a land use restriction on the property.  </w:t>
      </w:r>
    </w:p>
    <w:p w:rsidR="00792362" w:rsidRDefault="00792362" w:rsidP="00792362">
      <w:pPr>
        <w:ind w:left="720"/>
      </w:pPr>
    </w:p>
    <w:p w:rsidR="00BD18E4" w:rsidRPr="00792362" w:rsidRDefault="00BD18E4" w:rsidP="00792362">
      <w:pPr>
        <w:pStyle w:val="ListParagraph"/>
        <w:numPr>
          <w:ilvl w:val="0"/>
          <w:numId w:val="35"/>
        </w:numPr>
        <w:rPr>
          <w:rFonts w:ascii="Tahoma" w:hAnsi="Tahoma" w:cs="Tahoma"/>
          <w:sz w:val="24"/>
          <w:szCs w:val="24"/>
        </w:rPr>
      </w:pPr>
      <w:r w:rsidRPr="00792362">
        <w:rPr>
          <w:rFonts w:ascii="Tahoma" w:hAnsi="Tahoma" w:cs="Tahoma"/>
          <w:sz w:val="24"/>
          <w:szCs w:val="24"/>
        </w:rPr>
        <w:t xml:space="preserve">Alternative #3: Excavation with Offsite Disposal is moderately difficult to implement. Coordination (e.g., dust suppression and monitoring) during cleanup activities and short-term disturbance to the community (e.g., trucks transporting contaminated soils and backfill) are anticipated.  However, ongoing monitoring and maintenance will not be required following excavation and offsite disposal. </w:t>
      </w:r>
      <w:r w:rsidR="00CC2C2C">
        <w:rPr>
          <w:rFonts w:ascii="Tahoma" w:hAnsi="Tahoma" w:cs="Tahoma"/>
          <w:sz w:val="24"/>
          <w:szCs w:val="24"/>
        </w:rPr>
        <w:t xml:space="preserve">Due to the amount of waste material which would be removed an extremely large amount of clean fill would be needed. </w:t>
      </w:r>
      <w:r w:rsidRPr="00792362">
        <w:rPr>
          <w:rFonts w:ascii="Tahoma" w:hAnsi="Tahoma" w:cs="Tahoma"/>
          <w:sz w:val="24"/>
          <w:szCs w:val="24"/>
        </w:rPr>
        <w:t xml:space="preserve">One consideration that may make excavation slightly more difficult to implement is the increased frequency of heavy rainfall events that has been experienced in recent years in </w:t>
      </w:r>
      <w:r w:rsidR="00792362" w:rsidRPr="00792362">
        <w:rPr>
          <w:rFonts w:ascii="Tahoma" w:hAnsi="Tahoma" w:cs="Tahoma"/>
          <w:sz w:val="24"/>
          <w:szCs w:val="24"/>
        </w:rPr>
        <w:t>Louisville, Kentucky</w:t>
      </w:r>
      <w:r w:rsidRPr="00792362">
        <w:rPr>
          <w:rFonts w:ascii="Tahoma" w:hAnsi="Tahoma" w:cs="Tahoma"/>
          <w:sz w:val="24"/>
          <w:szCs w:val="24"/>
        </w:rPr>
        <w:t>.  Although efforts will be made to schedule the work in the dry weather months, the amount of precipitation over a short period of time from one of these heavy rainfall events could raise the groundwater level and increase dewatering needs.</w:t>
      </w:r>
    </w:p>
    <w:p w:rsidR="00BD18E4" w:rsidRDefault="00BD18E4" w:rsidP="00BD18E4"/>
    <w:p w:rsidR="00BD18E4" w:rsidRDefault="00BD18E4" w:rsidP="00BD18E4">
      <w:r>
        <w:t>Cost</w:t>
      </w:r>
    </w:p>
    <w:p w:rsidR="00BD18E4" w:rsidRPr="00792362" w:rsidRDefault="00792362" w:rsidP="00792362">
      <w:pPr>
        <w:pStyle w:val="ListParagraph"/>
        <w:numPr>
          <w:ilvl w:val="0"/>
          <w:numId w:val="36"/>
        </w:numPr>
        <w:rPr>
          <w:rFonts w:ascii="Tahoma" w:hAnsi="Tahoma" w:cs="Tahoma"/>
          <w:sz w:val="24"/>
          <w:szCs w:val="24"/>
        </w:rPr>
      </w:pPr>
      <w:r w:rsidRPr="00792362">
        <w:rPr>
          <w:rFonts w:ascii="Tahoma" w:hAnsi="Tahoma" w:cs="Tahoma"/>
          <w:sz w:val="24"/>
          <w:szCs w:val="24"/>
        </w:rPr>
        <w:t>T</w:t>
      </w:r>
      <w:r w:rsidR="00BD18E4" w:rsidRPr="00792362">
        <w:rPr>
          <w:rFonts w:ascii="Tahoma" w:hAnsi="Tahoma" w:cs="Tahoma"/>
          <w:sz w:val="24"/>
          <w:szCs w:val="24"/>
        </w:rPr>
        <w:t>here will be no costs under Alternative #1: No Action.</w:t>
      </w:r>
    </w:p>
    <w:p w:rsidR="00792362" w:rsidRPr="00792362" w:rsidRDefault="00BD18E4" w:rsidP="00792362">
      <w:pPr>
        <w:ind w:left="720" w:hanging="360"/>
      </w:pPr>
      <w:r w:rsidRPr="00792362">
        <w:t>•</w:t>
      </w:r>
      <w:r w:rsidRPr="00792362">
        <w:tab/>
        <w:t xml:space="preserve">It is estimated that </w:t>
      </w:r>
      <w:r w:rsidR="00CA1BB0">
        <w:t xml:space="preserve">Alternative #2: </w:t>
      </w:r>
      <w:r w:rsidR="00B82A6E">
        <w:t>Maintaining the existing cap</w:t>
      </w:r>
      <w:r w:rsidR="00CA1BB0">
        <w:t xml:space="preserve"> with additional soil vapor protections </w:t>
      </w:r>
      <w:r w:rsidRPr="00792362">
        <w:t>costs will be on the order of $150,000</w:t>
      </w:r>
      <w:r w:rsidR="00D41EBB">
        <w:t>.</w:t>
      </w:r>
    </w:p>
    <w:p w:rsidR="00792362" w:rsidRPr="00792362" w:rsidRDefault="00792362" w:rsidP="00BD18E4"/>
    <w:p w:rsidR="00BD18E4" w:rsidRPr="00792362" w:rsidRDefault="00BD18E4" w:rsidP="003F24EE">
      <w:pPr>
        <w:pStyle w:val="ListParagraph"/>
        <w:numPr>
          <w:ilvl w:val="0"/>
          <w:numId w:val="35"/>
        </w:numPr>
        <w:rPr>
          <w:rFonts w:ascii="Tahoma" w:hAnsi="Tahoma" w:cs="Tahoma"/>
          <w:sz w:val="24"/>
          <w:szCs w:val="24"/>
        </w:rPr>
      </w:pPr>
      <w:r w:rsidRPr="00792362">
        <w:rPr>
          <w:rFonts w:ascii="Tahoma" w:hAnsi="Tahoma" w:cs="Tahoma"/>
          <w:sz w:val="24"/>
          <w:szCs w:val="24"/>
        </w:rPr>
        <w:lastRenderedPageBreak/>
        <w:t>Alternative #3: Excavation with Offsite Disposal is estimated to cost roughly</w:t>
      </w:r>
      <w:r w:rsidR="00792362" w:rsidRPr="00792362">
        <w:rPr>
          <w:rFonts w:ascii="Tahoma" w:hAnsi="Tahoma" w:cs="Tahoma"/>
          <w:sz w:val="24"/>
          <w:szCs w:val="24"/>
        </w:rPr>
        <w:t xml:space="preserve"> </w:t>
      </w:r>
      <w:r w:rsidRPr="00792362">
        <w:rPr>
          <w:rFonts w:ascii="Tahoma" w:hAnsi="Tahoma" w:cs="Tahoma"/>
          <w:sz w:val="24"/>
          <w:szCs w:val="24"/>
        </w:rPr>
        <w:t>$</w:t>
      </w:r>
      <w:r w:rsidR="00B82A6E">
        <w:rPr>
          <w:rFonts w:ascii="Tahoma" w:hAnsi="Tahoma" w:cs="Tahoma"/>
          <w:sz w:val="24"/>
          <w:szCs w:val="24"/>
        </w:rPr>
        <w:t>85</w:t>
      </w:r>
      <w:r w:rsidR="00D41EBB">
        <w:rPr>
          <w:rFonts w:ascii="Tahoma" w:hAnsi="Tahoma" w:cs="Tahoma"/>
          <w:sz w:val="24"/>
          <w:szCs w:val="24"/>
        </w:rPr>
        <w:t>0,000</w:t>
      </w:r>
      <w:r w:rsidRPr="00792362">
        <w:rPr>
          <w:rFonts w:ascii="Tahoma" w:hAnsi="Tahoma" w:cs="Tahoma"/>
          <w:sz w:val="24"/>
          <w:szCs w:val="24"/>
        </w:rPr>
        <w:t>.  Costs for this alternative could increase if a heavy rainfall event occurs during remediation, increasing dewatering needs.</w:t>
      </w:r>
    </w:p>
    <w:p w:rsidR="00BD18E4" w:rsidRDefault="00BD18E4" w:rsidP="00BD18E4">
      <w:r>
        <w:t xml:space="preserve">c.   </w:t>
      </w:r>
      <w:r w:rsidRPr="00792362">
        <w:rPr>
          <w:rStyle w:val="Heading3Char"/>
        </w:rPr>
        <w:t>Recommended Cleanup Alternative</w:t>
      </w:r>
    </w:p>
    <w:p w:rsidR="00BD18E4" w:rsidRDefault="00BD18E4" w:rsidP="00792362">
      <w:pPr>
        <w:ind w:left="720"/>
      </w:pPr>
      <w:r>
        <w:t>The recommended clean</w:t>
      </w:r>
      <w:r w:rsidR="00792362">
        <w:t>up alternative is Alternative #2</w:t>
      </w:r>
      <w:r>
        <w:t xml:space="preserve">: </w:t>
      </w:r>
      <w:r w:rsidR="00792362">
        <w:t>Capping with additional soil vapor protections.</w:t>
      </w:r>
    </w:p>
    <w:p w:rsidR="00CA1BB0" w:rsidRDefault="00CA1BB0" w:rsidP="00792362">
      <w:pPr>
        <w:ind w:left="720"/>
      </w:pPr>
    </w:p>
    <w:p w:rsidR="00CA1BB0" w:rsidRDefault="00BD18E4" w:rsidP="00BD18E4">
      <w:r>
        <w:t xml:space="preserve">Alternative #1: No Action cannot be recommended since it does not address site risks. </w:t>
      </w:r>
    </w:p>
    <w:p w:rsidR="00CA1BB0" w:rsidRDefault="00CA1BB0" w:rsidP="00BD18E4"/>
    <w:p w:rsidR="00D41EBB" w:rsidRDefault="00BD18E4" w:rsidP="00BD18E4">
      <w:r>
        <w:t xml:space="preserve">Alternative #2: </w:t>
      </w:r>
      <w:r w:rsidR="00B82A6E">
        <w:t>Maintaining the existing cap is</w:t>
      </w:r>
      <w:r>
        <w:t xml:space="preserve"> less expensive than excavating soils and disposing them offsite. </w:t>
      </w:r>
    </w:p>
    <w:p w:rsidR="00D41EBB" w:rsidRDefault="00D41EBB" w:rsidP="00BD18E4"/>
    <w:p w:rsidR="00BD18E4" w:rsidRDefault="00BD18E4" w:rsidP="00BD18E4">
      <w:r>
        <w:t xml:space="preserve">Alternative #3: Excavation and Offsite </w:t>
      </w:r>
      <w:r w:rsidR="00DF334B">
        <w:t>Disposal</w:t>
      </w:r>
      <w:r>
        <w:t xml:space="preserve"> will be </w:t>
      </w:r>
      <w:r w:rsidR="00792362">
        <w:t xml:space="preserve">the most expensive and the most difficult to implement. </w:t>
      </w:r>
      <w:r>
        <w:t>Fo</w:t>
      </w:r>
      <w:r w:rsidR="00792362">
        <w:t>r these reasons, Alternative #2</w:t>
      </w:r>
      <w:r>
        <w:t xml:space="preserve">: </w:t>
      </w:r>
      <w:r w:rsidR="00B82A6E">
        <w:t>Maintaining the existing cap</w:t>
      </w:r>
      <w:r w:rsidR="00DF334B">
        <w:t xml:space="preserve"> with additional soil vapor protections</w:t>
      </w:r>
      <w:r w:rsidR="00D41EBB">
        <w:t xml:space="preserve"> </w:t>
      </w:r>
      <w:r>
        <w:t>is the recommended alternative.</w:t>
      </w:r>
    </w:p>
    <w:p w:rsidR="00BD18E4" w:rsidRDefault="00BD18E4" w:rsidP="00BD18E4">
      <w:r>
        <w:t xml:space="preserve"> </w:t>
      </w:r>
    </w:p>
    <w:p w:rsidR="00BD18E4" w:rsidRDefault="00BD18E4" w:rsidP="00BD18E4"/>
    <w:p w:rsidR="00BD18E4" w:rsidRDefault="00BD18E4" w:rsidP="00BD18E4">
      <w:r>
        <w:t>Green and Sustainable Remediation Measures for Selected Alternative</w:t>
      </w:r>
    </w:p>
    <w:p w:rsidR="00BD18E4" w:rsidRDefault="00BD18E4" w:rsidP="00BD18E4">
      <w:r>
        <w:t xml:space="preserve">To make the selected alternative greener, or more sustainable, several techniques are planned.  The most recent Best Management Practices (BMPs) issued under ASTM Standard E-2893: Standard Guide for Greener Cleanups will be used as a reference in this effort. </w:t>
      </w:r>
      <w:r w:rsidR="00DF334B">
        <w:t>Botanica</w:t>
      </w:r>
      <w:r>
        <w:t xml:space="preserve"> will require the cleanup contractor to follow an idle-reduction policy and use heavy equipment with advanced emissions controls operated on ultra-low sulfur diesel.  The excavation work would be conducted during the dry-weather months (summertime) in order to minimize groundwater infiltration into the excavation area, in turn reducing dewatering needs and the amount of dewatering liquids requiring disposal/treatment.  The number of mobilizations to the Site would be minimized and</w:t>
      </w:r>
    </w:p>
    <w:p w:rsidR="00BD18E4" w:rsidRPr="00BD18E4" w:rsidRDefault="00BD18E4" w:rsidP="00BD18E4">
      <w:r>
        <w:t xml:space="preserve">erosion control measures would be used to minimize runoff into environmentally sensitive areas.  In addition, </w:t>
      </w:r>
      <w:r w:rsidR="00DF334B">
        <w:t>Botanica</w:t>
      </w:r>
      <w:r>
        <w:t xml:space="preserve"> plans to ask bidding cleanup contractors to propose additional green remediation techniques in their response to the Request for Proposals for the cleanup contract.</w:t>
      </w:r>
    </w:p>
    <w:sectPr w:rsidR="00BD18E4" w:rsidRPr="00BD18E4" w:rsidSect="00A861B4">
      <w:headerReference w:type="default" r:id="rId9"/>
      <w:footerReference w:type="default" r:id="rId10"/>
      <w:type w:val="continuous"/>
      <w:pgSz w:w="12240" w:h="15840"/>
      <w:pgMar w:top="1440" w:right="1440" w:bottom="1440" w:left="1440" w:header="720"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20" w:rsidRDefault="00074C20" w:rsidP="0078315A">
      <w:r>
        <w:separator/>
      </w:r>
    </w:p>
  </w:endnote>
  <w:endnote w:type="continuationSeparator" w:id="0">
    <w:p w:rsidR="00074C20" w:rsidRDefault="00074C20" w:rsidP="0078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08959"/>
      <w:docPartObj>
        <w:docPartGallery w:val="Page Numbers (Bottom of Page)"/>
        <w:docPartUnique/>
      </w:docPartObj>
    </w:sdtPr>
    <w:sdtEndPr/>
    <w:sdtContent>
      <w:p w:rsidR="00ED0CF1" w:rsidRDefault="00ED0CF1">
        <w:pPr>
          <w:pStyle w:val="Footer"/>
          <w:jc w:val="center"/>
        </w:pPr>
        <w:r>
          <w:t xml:space="preserve"> </w:t>
        </w:r>
      </w:p>
    </w:sdtContent>
  </w:sdt>
  <w:p w:rsidR="00ED0CF1" w:rsidRDefault="00ED0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62896"/>
      <w:docPartObj>
        <w:docPartGallery w:val="Page Numbers (Bottom of Page)"/>
        <w:docPartUnique/>
      </w:docPartObj>
    </w:sdtPr>
    <w:sdtEndPr/>
    <w:sdtContent>
      <w:p w:rsidR="00ED0CF1" w:rsidRDefault="00ED0CF1">
        <w:pPr>
          <w:pStyle w:val="Footer"/>
          <w:jc w:val="center"/>
        </w:pPr>
        <w:r>
          <w:fldChar w:fldCharType="begin"/>
        </w:r>
        <w:r>
          <w:instrText xml:space="preserve"> PAGE   \* MERGEFORMAT </w:instrText>
        </w:r>
        <w:r>
          <w:fldChar w:fldCharType="separate"/>
        </w:r>
        <w:r w:rsidR="004E5B57">
          <w:rPr>
            <w:noProof/>
          </w:rPr>
          <w:t>2</w:t>
        </w:r>
        <w:r>
          <w:rPr>
            <w:noProof/>
          </w:rPr>
          <w:fldChar w:fldCharType="end"/>
        </w:r>
      </w:p>
    </w:sdtContent>
  </w:sdt>
  <w:p w:rsidR="00ED0CF1" w:rsidRDefault="00ED0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20" w:rsidRDefault="00074C20" w:rsidP="0078315A">
      <w:r>
        <w:separator/>
      </w:r>
    </w:p>
  </w:footnote>
  <w:footnote w:type="continuationSeparator" w:id="0">
    <w:p w:rsidR="00074C20" w:rsidRDefault="00074C20" w:rsidP="00783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CF1" w:rsidRDefault="008E40E7" w:rsidP="00A861B4">
    <w:pPr>
      <w:pStyle w:val="Header"/>
      <w:jc w:val="right"/>
    </w:pPr>
    <w:r>
      <w:t>ABCA</w:t>
    </w:r>
  </w:p>
  <w:p w:rsidR="00ED0CF1" w:rsidRDefault="00ED0CF1" w:rsidP="00A861B4">
    <w:pPr>
      <w:pStyle w:val="Header"/>
      <w:jc w:val="right"/>
    </w:pPr>
    <w:r>
      <w:t>Ohio Street Dump</w:t>
    </w:r>
  </w:p>
  <w:p w:rsidR="00ED0CF1" w:rsidRDefault="00ED0CF1" w:rsidP="00A861B4">
    <w:pPr>
      <w:pStyle w:val="Header"/>
      <w:jc w:val="right"/>
    </w:pPr>
    <w:r>
      <w:t>Louisville, Kentucky</w:t>
    </w:r>
  </w:p>
  <w:p w:rsidR="00ED0CF1" w:rsidRDefault="008E40E7" w:rsidP="00A861B4">
    <w:pPr>
      <w:pStyle w:val="Header"/>
      <w:jc w:val="right"/>
    </w:pPr>
    <w:r>
      <w:t>October 2017</w:t>
    </w:r>
  </w:p>
  <w:p w:rsidR="00ED0CF1" w:rsidRDefault="00ED0CF1" w:rsidP="00A861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4890"/>
    <w:multiLevelType w:val="hybridMultilevel"/>
    <w:tmpl w:val="78DAC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71584"/>
    <w:multiLevelType w:val="hybridMultilevel"/>
    <w:tmpl w:val="E9946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21CE9"/>
    <w:multiLevelType w:val="multilevel"/>
    <w:tmpl w:val="A2261748"/>
    <w:lvl w:ilvl="0">
      <w:start w:val="1"/>
      <w:numFmt w:val="decimal"/>
      <w:lvlText w:val="%1"/>
      <w:lvlJc w:val="left"/>
      <w:pPr>
        <w:ind w:left="444" w:hanging="44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12F912D3"/>
    <w:multiLevelType w:val="hybridMultilevel"/>
    <w:tmpl w:val="11D4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25CCE"/>
    <w:multiLevelType w:val="hybridMultilevel"/>
    <w:tmpl w:val="04E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64CA2"/>
    <w:multiLevelType w:val="hybridMultilevel"/>
    <w:tmpl w:val="C9348A96"/>
    <w:lvl w:ilvl="0" w:tplc="B24CB2CC">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7F15"/>
    <w:multiLevelType w:val="hybridMultilevel"/>
    <w:tmpl w:val="0DA6D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02277"/>
    <w:multiLevelType w:val="hybridMultilevel"/>
    <w:tmpl w:val="8446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86502"/>
    <w:multiLevelType w:val="hybridMultilevel"/>
    <w:tmpl w:val="88FE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14D1B"/>
    <w:multiLevelType w:val="hybridMultilevel"/>
    <w:tmpl w:val="1C08A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F793F"/>
    <w:multiLevelType w:val="hybridMultilevel"/>
    <w:tmpl w:val="7F5A1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A2915"/>
    <w:multiLevelType w:val="hybridMultilevel"/>
    <w:tmpl w:val="6740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4123D"/>
    <w:multiLevelType w:val="hybridMultilevel"/>
    <w:tmpl w:val="09F6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311D5"/>
    <w:multiLevelType w:val="hybridMultilevel"/>
    <w:tmpl w:val="F96C5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770DF"/>
    <w:multiLevelType w:val="hybridMultilevel"/>
    <w:tmpl w:val="C134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27B89"/>
    <w:multiLevelType w:val="hybridMultilevel"/>
    <w:tmpl w:val="3A3C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E2A8F"/>
    <w:multiLevelType w:val="hybridMultilevel"/>
    <w:tmpl w:val="7E86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3334B"/>
    <w:multiLevelType w:val="hybridMultilevel"/>
    <w:tmpl w:val="F8D0E9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90B6837"/>
    <w:multiLevelType w:val="hybridMultilevel"/>
    <w:tmpl w:val="50C2A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044B0"/>
    <w:multiLevelType w:val="hybridMultilevel"/>
    <w:tmpl w:val="13B8E83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4AEF647A"/>
    <w:multiLevelType w:val="hybridMultilevel"/>
    <w:tmpl w:val="0D54D32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82913"/>
    <w:multiLevelType w:val="hybridMultilevel"/>
    <w:tmpl w:val="B48CF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C00D3"/>
    <w:multiLevelType w:val="hybridMultilevel"/>
    <w:tmpl w:val="A892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365E2"/>
    <w:multiLevelType w:val="multilevel"/>
    <w:tmpl w:val="ADE850C2"/>
    <w:lvl w:ilvl="0">
      <w:start w:val="1"/>
      <w:numFmt w:val="decimal"/>
      <w:lvlText w:val="%1"/>
      <w:lvlJc w:val="left"/>
      <w:pPr>
        <w:ind w:left="444" w:hanging="44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56901FBA"/>
    <w:multiLevelType w:val="multilevel"/>
    <w:tmpl w:val="D1961392"/>
    <w:lvl w:ilvl="0">
      <w:start w:val="1"/>
      <w:numFmt w:val="decimal"/>
      <w:lvlText w:val="%1"/>
      <w:lvlJc w:val="left"/>
      <w:pPr>
        <w:ind w:left="444" w:hanging="44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58FA26E1"/>
    <w:multiLevelType w:val="hybridMultilevel"/>
    <w:tmpl w:val="6AB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7120C"/>
    <w:multiLevelType w:val="hybridMultilevel"/>
    <w:tmpl w:val="02DA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66CBF"/>
    <w:multiLevelType w:val="hybridMultilevel"/>
    <w:tmpl w:val="71D0C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6D5D02"/>
    <w:multiLevelType w:val="hybridMultilevel"/>
    <w:tmpl w:val="DBF6FDD2"/>
    <w:lvl w:ilvl="0" w:tplc="42F06B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7639B"/>
    <w:multiLevelType w:val="hybridMultilevel"/>
    <w:tmpl w:val="6D7E1DF2"/>
    <w:lvl w:ilvl="0" w:tplc="05F0107A">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16A03"/>
    <w:multiLevelType w:val="hybridMultilevel"/>
    <w:tmpl w:val="F6780AE2"/>
    <w:lvl w:ilvl="0" w:tplc="3F3422AE">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31A9F"/>
    <w:multiLevelType w:val="hybridMultilevel"/>
    <w:tmpl w:val="6906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62673"/>
    <w:multiLevelType w:val="hybridMultilevel"/>
    <w:tmpl w:val="80BE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85F4C"/>
    <w:multiLevelType w:val="multilevel"/>
    <w:tmpl w:val="53E02AF0"/>
    <w:lvl w:ilvl="0">
      <w:start w:val="1"/>
      <w:numFmt w:val="decimal"/>
      <w:lvlText w:val="%1"/>
      <w:lvlJc w:val="left"/>
      <w:pPr>
        <w:ind w:left="444" w:hanging="44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61F4767"/>
    <w:multiLevelType w:val="hybridMultilevel"/>
    <w:tmpl w:val="AF8E6822"/>
    <w:lvl w:ilvl="0" w:tplc="E28002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34A19"/>
    <w:multiLevelType w:val="multilevel"/>
    <w:tmpl w:val="B6D0D7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7CEE1171"/>
    <w:multiLevelType w:val="hybridMultilevel"/>
    <w:tmpl w:val="6CFEC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14"/>
  </w:num>
  <w:num w:numId="4">
    <w:abstractNumId w:val="33"/>
  </w:num>
  <w:num w:numId="5">
    <w:abstractNumId w:val="2"/>
  </w:num>
  <w:num w:numId="6">
    <w:abstractNumId w:val="23"/>
  </w:num>
  <w:num w:numId="7">
    <w:abstractNumId w:val="24"/>
  </w:num>
  <w:num w:numId="8">
    <w:abstractNumId w:val="4"/>
  </w:num>
  <w:num w:numId="9">
    <w:abstractNumId w:val="25"/>
  </w:num>
  <w:num w:numId="10">
    <w:abstractNumId w:val="26"/>
  </w:num>
  <w:num w:numId="11">
    <w:abstractNumId w:val="11"/>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27"/>
  </w:num>
  <w:num w:numId="16">
    <w:abstractNumId w:val="12"/>
  </w:num>
  <w:num w:numId="17">
    <w:abstractNumId w:val="15"/>
  </w:num>
  <w:num w:numId="18">
    <w:abstractNumId w:val="7"/>
  </w:num>
  <w:num w:numId="19">
    <w:abstractNumId w:val="16"/>
  </w:num>
  <w:num w:numId="20">
    <w:abstractNumId w:val="32"/>
  </w:num>
  <w:num w:numId="21">
    <w:abstractNumId w:val="3"/>
  </w:num>
  <w:num w:numId="22">
    <w:abstractNumId w:val="35"/>
  </w:num>
  <w:num w:numId="23">
    <w:abstractNumId w:val="20"/>
  </w:num>
  <w:num w:numId="24">
    <w:abstractNumId w:val="30"/>
  </w:num>
  <w:num w:numId="25">
    <w:abstractNumId w:val="34"/>
  </w:num>
  <w:num w:numId="26">
    <w:abstractNumId w:val="29"/>
  </w:num>
  <w:num w:numId="27">
    <w:abstractNumId w:val="9"/>
  </w:num>
  <w:num w:numId="28">
    <w:abstractNumId w:val="28"/>
  </w:num>
  <w:num w:numId="29">
    <w:abstractNumId w:val="0"/>
  </w:num>
  <w:num w:numId="30">
    <w:abstractNumId w:val="21"/>
  </w:num>
  <w:num w:numId="31">
    <w:abstractNumId w:val="18"/>
  </w:num>
  <w:num w:numId="32">
    <w:abstractNumId w:val="13"/>
  </w:num>
  <w:num w:numId="33">
    <w:abstractNumId w:val="10"/>
  </w:num>
  <w:num w:numId="34">
    <w:abstractNumId w:val="36"/>
  </w:num>
  <w:num w:numId="35">
    <w:abstractNumId w:val="1"/>
  </w:num>
  <w:num w:numId="36">
    <w:abstractNumId w:val="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D1"/>
    <w:rsid w:val="00001089"/>
    <w:rsid w:val="000074AE"/>
    <w:rsid w:val="00011279"/>
    <w:rsid w:val="00012C54"/>
    <w:rsid w:val="0001321A"/>
    <w:rsid w:val="00015681"/>
    <w:rsid w:val="000165E7"/>
    <w:rsid w:val="00022575"/>
    <w:rsid w:val="0002347A"/>
    <w:rsid w:val="0003073C"/>
    <w:rsid w:val="00031D86"/>
    <w:rsid w:val="000400AB"/>
    <w:rsid w:val="000418F6"/>
    <w:rsid w:val="000425B9"/>
    <w:rsid w:val="000441C9"/>
    <w:rsid w:val="00046B6C"/>
    <w:rsid w:val="000476C1"/>
    <w:rsid w:val="00050ACB"/>
    <w:rsid w:val="0005707B"/>
    <w:rsid w:val="000652AA"/>
    <w:rsid w:val="00065DC8"/>
    <w:rsid w:val="00072F63"/>
    <w:rsid w:val="0007327F"/>
    <w:rsid w:val="000735E7"/>
    <w:rsid w:val="00074792"/>
    <w:rsid w:val="00074C20"/>
    <w:rsid w:val="00075ECC"/>
    <w:rsid w:val="00086452"/>
    <w:rsid w:val="00086B63"/>
    <w:rsid w:val="00094174"/>
    <w:rsid w:val="00094D90"/>
    <w:rsid w:val="0009580C"/>
    <w:rsid w:val="00095D89"/>
    <w:rsid w:val="000A3234"/>
    <w:rsid w:val="000A5CB2"/>
    <w:rsid w:val="000B1B75"/>
    <w:rsid w:val="000B32B6"/>
    <w:rsid w:val="000B67C9"/>
    <w:rsid w:val="000B6853"/>
    <w:rsid w:val="000B6B71"/>
    <w:rsid w:val="000C4D49"/>
    <w:rsid w:val="000C6147"/>
    <w:rsid w:val="000C6403"/>
    <w:rsid w:val="000C675D"/>
    <w:rsid w:val="000D33DA"/>
    <w:rsid w:val="000D4FD8"/>
    <w:rsid w:val="000E2FA6"/>
    <w:rsid w:val="000E31D4"/>
    <w:rsid w:val="000F272C"/>
    <w:rsid w:val="000F3C6E"/>
    <w:rsid w:val="000F41CF"/>
    <w:rsid w:val="000F5424"/>
    <w:rsid w:val="0010356C"/>
    <w:rsid w:val="00104FD9"/>
    <w:rsid w:val="001072CB"/>
    <w:rsid w:val="00107489"/>
    <w:rsid w:val="00110684"/>
    <w:rsid w:val="00112334"/>
    <w:rsid w:val="001133A3"/>
    <w:rsid w:val="00113F65"/>
    <w:rsid w:val="00115187"/>
    <w:rsid w:val="0011691C"/>
    <w:rsid w:val="00122A41"/>
    <w:rsid w:val="0013156B"/>
    <w:rsid w:val="00133A83"/>
    <w:rsid w:val="00133B8F"/>
    <w:rsid w:val="00137064"/>
    <w:rsid w:val="0013731E"/>
    <w:rsid w:val="00140516"/>
    <w:rsid w:val="001506E9"/>
    <w:rsid w:val="00150D19"/>
    <w:rsid w:val="00156EA7"/>
    <w:rsid w:val="00160A30"/>
    <w:rsid w:val="001660B0"/>
    <w:rsid w:val="001661C2"/>
    <w:rsid w:val="001665C6"/>
    <w:rsid w:val="00166BE3"/>
    <w:rsid w:val="00166BED"/>
    <w:rsid w:val="00166C5A"/>
    <w:rsid w:val="00167F8D"/>
    <w:rsid w:val="001712FE"/>
    <w:rsid w:val="001721F1"/>
    <w:rsid w:val="00180141"/>
    <w:rsid w:val="00184FF6"/>
    <w:rsid w:val="00186101"/>
    <w:rsid w:val="00187B54"/>
    <w:rsid w:val="00187C07"/>
    <w:rsid w:val="001905C2"/>
    <w:rsid w:val="00196692"/>
    <w:rsid w:val="00196E64"/>
    <w:rsid w:val="00197739"/>
    <w:rsid w:val="001A04FB"/>
    <w:rsid w:val="001A42F5"/>
    <w:rsid w:val="001B0837"/>
    <w:rsid w:val="001B099F"/>
    <w:rsid w:val="001B2C0F"/>
    <w:rsid w:val="001C1F13"/>
    <w:rsid w:val="001C21AA"/>
    <w:rsid w:val="001C23A7"/>
    <w:rsid w:val="001C3D4A"/>
    <w:rsid w:val="001C4E93"/>
    <w:rsid w:val="001C68FB"/>
    <w:rsid w:val="001D0A5E"/>
    <w:rsid w:val="001D3AFB"/>
    <w:rsid w:val="001D4251"/>
    <w:rsid w:val="001D5628"/>
    <w:rsid w:val="001E36F0"/>
    <w:rsid w:val="001E4C44"/>
    <w:rsid w:val="001E756A"/>
    <w:rsid w:val="001F22CF"/>
    <w:rsid w:val="001F380A"/>
    <w:rsid w:val="001F49F6"/>
    <w:rsid w:val="00200329"/>
    <w:rsid w:val="00200761"/>
    <w:rsid w:val="00200E17"/>
    <w:rsid w:val="002021D0"/>
    <w:rsid w:val="0020406D"/>
    <w:rsid w:val="0020549A"/>
    <w:rsid w:val="00205EE4"/>
    <w:rsid w:val="0021093C"/>
    <w:rsid w:val="00211404"/>
    <w:rsid w:val="002115EC"/>
    <w:rsid w:val="00213251"/>
    <w:rsid w:val="00213B07"/>
    <w:rsid w:val="00224347"/>
    <w:rsid w:val="00225A52"/>
    <w:rsid w:val="00231830"/>
    <w:rsid w:val="002349F7"/>
    <w:rsid w:val="00241EEE"/>
    <w:rsid w:val="002427B2"/>
    <w:rsid w:val="00247B87"/>
    <w:rsid w:val="00250771"/>
    <w:rsid w:val="002533EB"/>
    <w:rsid w:val="002550CA"/>
    <w:rsid w:val="002648A2"/>
    <w:rsid w:val="00266D70"/>
    <w:rsid w:val="00267072"/>
    <w:rsid w:val="00270ED7"/>
    <w:rsid w:val="00271821"/>
    <w:rsid w:val="00272292"/>
    <w:rsid w:val="00277F32"/>
    <w:rsid w:val="00282E09"/>
    <w:rsid w:val="00282FF6"/>
    <w:rsid w:val="00283BB8"/>
    <w:rsid w:val="00286428"/>
    <w:rsid w:val="00287F8B"/>
    <w:rsid w:val="00293BC6"/>
    <w:rsid w:val="0029701B"/>
    <w:rsid w:val="002A1F96"/>
    <w:rsid w:val="002A3DE4"/>
    <w:rsid w:val="002A5142"/>
    <w:rsid w:val="002A7E45"/>
    <w:rsid w:val="002B25E7"/>
    <w:rsid w:val="002B5740"/>
    <w:rsid w:val="002B7020"/>
    <w:rsid w:val="002C4E0D"/>
    <w:rsid w:val="002D0920"/>
    <w:rsid w:val="002D2640"/>
    <w:rsid w:val="002D761A"/>
    <w:rsid w:val="002D7658"/>
    <w:rsid w:val="002E08AB"/>
    <w:rsid w:val="002E13AD"/>
    <w:rsid w:val="002E41CB"/>
    <w:rsid w:val="002E5C3F"/>
    <w:rsid w:val="002E6F49"/>
    <w:rsid w:val="002F5B09"/>
    <w:rsid w:val="002F6B06"/>
    <w:rsid w:val="002F7BE8"/>
    <w:rsid w:val="00301A10"/>
    <w:rsid w:val="00312B9E"/>
    <w:rsid w:val="00313286"/>
    <w:rsid w:val="00313B0C"/>
    <w:rsid w:val="00314205"/>
    <w:rsid w:val="003223AA"/>
    <w:rsid w:val="003231BA"/>
    <w:rsid w:val="00332E29"/>
    <w:rsid w:val="00342A44"/>
    <w:rsid w:val="00344AA2"/>
    <w:rsid w:val="0034669B"/>
    <w:rsid w:val="00350FFD"/>
    <w:rsid w:val="0035105E"/>
    <w:rsid w:val="0035289E"/>
    <w:rsid w:val="00355752"/>
    <w:rsid w:val="00357E74"/>
    <w:rsid w:val="0036426B"/>
    <w:rsid w:val="00364776"/>
    <w:rsid w:val="003648AA"/>
    <w:rsid w:val="003659E0"/>
    <w:rsid w:val="00366C4E"/>
    <w:rsid w:val="00366E09"/>
    <w:rsid w:val="003679E1"/>
    <w:rsid w:val="00367C33"/>
    <w:rsid w:val="003720FA"/>
    <w:rsid w:val="00381813"/>
    <w:rsid w:val="003870F1"/>
    <w:rsid w:val="00387883"/>
    <w:rsid w:val="00390F3D"/>
    <w:rsid w:val="00391FEB"/>
    <w:rsid w:val="003968CD"/>
    <w:rsid w:val="00397A11"/>
    <w:rsid w:val="003A5496"/>
    <w:rsid w:val="003A5E55"/>
    <w:rsid w:val="003A7A17"/>
    <w:rsid w:val="003B3189"/>
    <w:rsid w:val="003B6599"/>
    <w:rsid w:val="003C1E7C"/>
    <w:rsid w:val="003C25E5"/>
    <w:rsid w:val="003C27C7"/>
    <w:rsid w:val="003C6E25"/>
    <w:rsid w:val="003D0DBC"/>
    <w:rsid w:val="003D1515"/>
    <w:rsid w:val="003D1FBB"/>
    <w:rsid w:val="003D360D"/>
    <w:rsid w:val="003D5DF1"/>
    <w:rsid w:val="003D6025"/>
    <w:rsid w:val="003D79E9"/>
    <w:rsid w:val="003E01F1"/>
    <w:rsid w:val="003F4159"/>
    <w:rsid w:val="004022F2"/>
    <w:rsid w:val="00402FC2"/>
    <w:rsid w:val="00403A68"/>
    <w:rsid w:val="004044E8"/>
    <w:rsid w:val="0040577E"/>
    <w:rsid w:val="00405980"/>
    <w:rsid w:val="00405CF8"/>
    <w:rsid w:val="004071D9"/>
    <w:rsid w:val="004104F3"/>
    <w:rsid w:val="00410F6F"/>
    <w:rsid w:val="00414851"/>
    <w:rsid w:val="00425FF7"/>
    <w:rsid w:val="00430CFE"/>
    <w:rsid w:val="00432164"/>
    <w:rsid w:val="004349A0"/>
    <w:rsid w:val="00435F38"/>
    <w:rsid w:val="00437AD9"/>
    <w:rsid w:val="0044270E"/>
    <w:rsid w:val="00443329"/>
    <w:rsid w:val="00443472"/>
    <w:rsid w:val="00452EE2"/>
    <w:rsid w:val="004533CF"/>
    <w:rsid w:val="004536DD"/>
    <w:rsid w:val="00462C61"/>
    <w:rsid w:val="0047103D"/>
    <w:rsid w:val="00473C06"/>
    <w:rsid w:val="00476250"/>
    <w:rsid w:val="00482EB9"/>
    <w:rsid w:val="004907D9"/>
    <w:rsid w:val="004A5037"/>
    <w:rsid w:val="004A5317"/>
    <w:rsid w:val="004C4E02"/>
    <w:rsid w:val="004C4EFD"/>
    <w:rsid w:val="004D306A"/>
    <w:rsid w:val="004D79E3"/>
    <w:rsid w:val="004E2CB6"/>
    <w:rsid w:val="004E415E"/>
    <w:rsid w:val="004E5B57"/>
    <w:rsid w:val="004E6CEA"/>
    <w:rsid w:val="004F6346"/>
    <w:rsid w:val="004F70F6"/>
    <w:rsid w:val="005003D0"/>
    <w:rsid w:val="0050388B"/>
    <w:rsid w:val="00505936"/>
    <w:rsid w:val="0050594F"/>
    <w:rsid w:val="00506522"/>
    <w:rsid w:val="005070C5"/>
    <w:rsid w:val="00507E6D"/>
    <w:rsid w:val="005114A3"/>
    <w:rsid w:val="00511718"/>
    <w:rsid w:val="00513B88"/>
    <w:rsid w:val="005176B7"/>
    <w:rsid w:val="00520A7D"/>
    <w:rsid w:val="00523C52"/>
    <w:rsid w:val="00524BB0"/>
    <w:rsid w:val="00532059"/>
    <w:rsid w:val="00543F07"/>
    <w:rsid w:val="00544476"/>
    <w:rsid w:val="00550EF8"/>
    <w:rsid w:val="005520DE"/>
    <w:rsid w:val="0055441E"/>
    <w:rsid w:val="00563AFD"/>
    <w:rsid w:val="00565298"/>
    <w:rsid w:val="00577E7A"/>
    <w:rsid w:val="00585FF0"/>
    <w:rsid w:val="00587D59"/>
    <w:rsid w:val="00595148"/>
    <w:rsid w:val="005964D1"/>
    <w:rsid w:val="00597F91"/>
    <w:rsid w:val="005A0B0D"/>
    <w:rsid w:val="005A1E75"/>
    <w:rsid w:val="005A3033"/>
    <w:rsid w:val="005A7013"/>
    <w:rsid w:val="005A7AD4"/>
    <w:rsid w:val="005B0265"/>
    <w:rsid w:val="005B182D"/>
    <w:rsid w:val="005B3306"/>
    <w:rsid w:val="005C6BF6"/>
    <w:rsid w:val="005D25E9"/>
    <w:rsid w:val="005D28B0"/>
    <w:rsid w:val="005D6411"/>
    <w:rsid w:val="005D655A"/>
    <w:rsid w:val="005D692C"/>
    <w:rsid w:val="005E1990"/>
    <w:rsid w:val="005E1A74"/>
    <w:rsid w:val="005E1B65"/>
    <w:rsid w:val="005E2617"/>
    <w:rsid w:val="005E2A14"/>
    <w:rsid w:val="005E6B1D"/>
    <w:rsid w:val="005E78A7"/>
    <w:rsid w:val="005E7BC9"/>
    <w:rsid w:val="005F2AAF"/>
    <w:rsid w:val="00600389"/>
    <w:rsid w:val="006011AC"/>
    <w:rsid w:val="00604B8D"/>
    <w:rsid w:val="006058FE"/>
    <w:rsid w:val="00607A39"/>
    <w:rsid w:val="00614C78"/>
    <w:rsid w:val="006156C3"/>
    <w:rsid w:val="006161A2"/>
    <w:rsid w:val="00616BB3"/>
    <w:rsid w:val="00621839"/>
    <w:rsid w:val="006237DD"/>
    <w:rsid w:val="006272FC"/>
    <w:rsid w:val="006308F8"/>
    <w:rsid w:val="006316E2"/>
    <w:rsid w:val="00633479"/>
    <w:rsid w:val="006516F4"/>
    <w:rsid w:val="00651DF2"/>
    <w:rsid w:val="006537B5"/>
    <w:rsid w:val="00661B54"/>
    <w:rsid w:val="00662069"/>
    <w:rsid w:val="00666AF3"/>
    <w:rsid w:val="006715D1"/>
    <w:rsid w:val="00672FDB"/>
    <w:rsid w:val="00681EA3"/>
    <w:rsid w:val="00684109"/>
    <w:rsid w:val="00686072"/>
    <w:rsid w:val="00693A08"/>
    <w:rsid w:val="00697F34"/>
    <w:rsid w:val="006A0544"/>
    <w:rsid w:val="006A0E2B"/>
    <w:rsid w:val="006A1B8A"/>
    <w:rsid w:val="006A4B68"/>
    <w:rsid w:val="006A62F2"/>
    <w:rsid w:val="006A66F6"/>
    <w:rsid w:val="006B30D2"/>
    <w:rsid w:val="006B3C32"/>
    <w:rsid w:val="006C13C7"/>
    <w:rsid w:val="006C32DF"/>
    <w:rsid w:val="006C3F65"/>
    <w:rsid w:val="006D25CB"/>
    <w:rsid w:val="006D2F72"/>
    <w:rsid w:val="006D4131"/>
    <w:rsid w:val="006D45F4"/>
    <w:rsid w:val="006D4DFA"/>
    <w:rsid w:val="006D5B53"/>
    <w:rsid w:val="006E13DC"/>
    <w:rsid w:val="006E2404"/>
    <w:rsid w:val="006E27EA"/>
    <w:rsid w:val="006E334C"/>
    <w:rsid w:val="006E418E"/>
    <w:rsid w:val="006E5FA8"/>
    <w:rsid w:val="006F00C4"/>
    <w:rsid w:val="006F31D6"/>
    <w:rsid w:val="006F48C7"/>
    <w:rsid w:val="006F6DCA"/>
    <w:rsid w:val="0070405F"/>
    <w:rsid w:val="0070458D"/>
    <w:rsid w:val="00714C9C"/>
    <w:rsid w:val="007179F9"/>
    <w:rsid w:val="00722153"/>
    <w:rsid w:val="007228DC"/>
    <w:rsid w:val="00723A7E"/>
    <w:rsid w:val="00725A25"/>
    <w:rsid w:val="007261D5"/>
    <w:rsid w:val="00731A7F"/>
    <w:rsid w:val="00732AC2"/>
    <w:rsid w:val="00733F9F"/>
    <w:rsid w:val="00741640"/>
    <w:rsid w:val="00741C4E"/>
    <w:rsid w:val="00741C53"/>
    <w:rsid w:val="00743D0E"/>
    <w:rsid w:val="00746E55"/>
    <w:rsid w:val="00746F5D"/>
    <w:rsid w:val="00747E0B"/>
    <w:rsid w:val="00752886"/>
    <w:rsid w:val="00755D7A"/>
    <w:rsid w:val="00760488"/>
    <w:rsid w:val="00762153"/>
    <w:rsid w:val="007624AB"/>
    <w:rsid w:val="00763ED0"/>
    <w:rsid w:val="00765B77"/>
    <w:rsid w:val="00766431"/>
    <w:rsid w:val="00766872"/>
    <w:rsid w:val="00766CF8"/>
    <w:rsid w:val="00770DBF"/>
    <w:rsid w:val="007722C7"/>
    <w:rsid w:val="0077713C"/>
    <w:rsid w:val="00781879"/>
    <w:rsid w:val="0078315A"/>
    <w:rsid w:val="0079018A"/>
    <w:rsid w:val="00790F4B"/>
    <w:rsid w:val="00792362"/>
    <w:rsid w:val="00792546"/>
    <w:rsid w:val="007939CA"/>
    <w:rsid w:val="00795A4B"/>
    <w:rsid w:val="007A14F1"/>
    <w:rsid w:val="007A613B"/>
    <w:rsid w:val="007B1C71"/>
    <w:rsid w:val="007B764E"/>
    <w:rsid w:val="007C0E70"/>
    <w:rsid w:val="007C19D5"/>
    <w:rsid w:val="007D19CE"/>
    <w:rsid w:val="007D2A05"/>
    <w:rsid w:val="007D2DF7"/>
    <w:rsid w:val="007D3386"/>
    <w:rsid w:val="007D3A9D"/>
    <w:rsid w:val="007E0D9A"/>
    <w:rsid w:val="007E5EDE"/>
    <w:rsid w:val="007E7725"/>
    <w:rsid w:val="007F5ACA"/>
    <w:rsid w:val="007F5EA4"/>
    <w:rsid w:val="007F6C94"/>
    <w:rsid w:val="0080021B"/>
    <w:rsid w:val="008005E7"/>
    <w:rsid w:val="00804DAB"/>
    <w:rsid w:val="008068A2"/>
    <w:rsid w:val="00815041"/>
    <w:rsid w:val="00817A16"/>
    <w:rsid w:val="00817DA1"/>
    <w:rsid w:val="008244CE"/>
    <w:rsid w:val="0082612D"/>
    <w:rsid w:val="0083091D"/>
    <w:rsid w:val="008350C9"/>
    <w:rsid w:val="0084166C"/>
    <w:rsid w:val="00842396"/>
    <w:rsid w:val="00844BC5"/>
    <w:rsid w:val="00846701"/>
    <w:rsid w:val="0084752B"/>
    <w:rsid w:val="00853B96"/>
    <w:rsid w:val="00855157"/>
    <w:rsid w:val="00857F73"/>
    <w:rsid w:val="008628F6"/>
    <w:rsid w:val="0086366A"/>
    <w:rsid w:val="00864F4C"/>
    <w:rsid w:val="00873651"/>
    <w:rsid w:val="00874FD9"/>
    <w:rsid w:val="00877FE0"/>
    <w:rsid w:val="00880967"/>
    <w:rsid w:val="008817A9"/>
    <w:rsid w:val="00885285"/>
    <w:rsid w:val="00886D25"/>
    <w:rsid w:val="008873BC"/>
    <w:rsid w:val="00892382"/>
    <w:rsid w:val="0089725F"/>
    <w:rsid w:val="008A5AE2"/>
    <w:rsid w:val="008B0E42"/>
    <w:rsid w:val="008C0AA4"/>
    <w:rsid w:val="008C1808"/>
    <w:rsid w:val="008C5F51"/>
    <w:rsid w:val="008C6C5B"/>
    <w:rsid w:val="008D15CF"/>
    <w:rsid w:val="008D3E5F"/>
    <w:rsid w:val="008D538D"/>
    <w:rsid w:val="008D5D0A"/>
    <w:rsid w:val="008D7040"/>
    <w:rsid w:val="008E0F55"/>
    <w:rsid w:val="008E183B"/>
    <w:rsid w:val="008E40E7"/>
    <w:rsid w:val="008E42B4"/>
    <w:rsid w:val="008E4FA8"/>
    <w:rsid w:val="008E60B6"/>
    <w:rsid w:val="008E6368"/>
    <w:rsid w:val="008F2B17"/>
    <w:rsid w:val="009047F7"/>
    <w:rsid w:val="009070F7"/>
    <w:rsid w:val="00907D73"/>
    <w:rsid w:val="00910B7C"/>
    <w:rsid w:val="009121A1"/>
    <w:rsid w:val="009138A6"/>
    <w:rsid w:val="00913948"/>
    <w:rsid w:val="0091443B"/>
    <w:rsid w:val="00921A82"/>
    <w:rsid w:val="00927185"/>
    <w:rsid w:val="009320B6"/>
    <w:rsid w:val="00932313"/>
    <w:rsid w:val="0093282D"/>
    <w:rsid w:val="00933520"/>
    <w:rsid w:val="00933C6D"/>
    <w:rsid w:val="00935440"/>
    <w:rsid w:val="009372EE"/>
    <w:rsid w:val="00940DAD"/>
    <w:rsid w:val="00946AE5"/>
    <w:rsid w:val="00946D88"/>
    <w:rsid w:val="00950D6F"/>
    <w:rsid w:val="009510C7"/>
    <w:rsid w:val="009553F9"/>
    <w:rsid w:val="00962802"/>
    <w:rsid w:val="00970CF5"/>
    <w:rsid w:val="00971FE2"/>
    <w:rsid w:val="00972600"/>
    <w:rsid w:val="00973777"/>
    <w:rsid w:val="00973D13"/>
    <w:rsid w:val="00973FED"/>
    <w:rsid w:val="00977D49"/>
    <w:rsid w:val="009801AC"/>
    <w:rsid w:val="0098146C"/>
    <w:rsid w:val="00984ECB"/>
    <w:rsid w:val="00985C40"/>
    <w:rsid w:val="0098645D"/>
    <w:rsid w:val="00990586"/>
    <w:rsid w:val="00995F5B"/>
    <w:rsid w:val="00996DEA"/>
    <w:rsid w:val="009A3386"/>
    <w:rsid w:val="009A5379"/>
    <w:rsid w:val="009B07A4"/>
    <w:rsid w:val="009B3FA1"/>
    <w:rsid w:val="009B7401"/>
    <w:rsid w:val="009B7B26"/>
    <w:rsid w:val="009B7C25"/>
    <w:rsid w:val="009C5E9C"/>
    <w:rsid w:val="009C62F4"/>
    <w:rsid w:val="009D192D"/>
    <w:rsid w:val="009D5D0F"/>
    <w:rsid w:val="009D6D6F"/>
    <w:rsid w:val="009E4C64"/>
    <w:rsid w:val="009E4F66"/>
    <w:rsid w:val="009F011E"/>
    <w:rsid w:val="009F0F2C"/>
    <w:rsid w:val="009F2A67"/>
    <w:rsid w:val="00A02AD6"/>
    <w:rsid w:val="00A07FA3"/>
    <w:rsid w:val="00A10286"/>
    <w:rsid w:val="00A17E03"/>
    <w:rsid w:val="00A2178B"/>
    <w:rsid w:val="00A22138"/>
    <w:rsid w:val="00A32FE0"/>
    <w:rsid w:val="00A369D1"/>
    <w:rsid w:val="00A45A23"/>
    <w:rsid w:val="00A477E6"/>
    <w:rsid w:val="00A503DA"/>
    <w:rsid w:val="00A54087"/>
    <w:rsid w:val="00A61213"/>
    <w:rsid w:val="00A618DF"/>
    <w:rsid w:val="00A72FBD"/>
    <w:rsid w:val="00A76FDF"/>
    <w:rsid w:val="00A77CA5"/>
    <w:rsid w:val="00A82B5E"/>
    <w:rsid w:val="00A84D3F"/>
    <w:rsid w:val="00A860C3"/>
    <w:rsid w:val="00A861B4"/>
    <w:rsid w:val="00A86406"/>
    <w:rsid w:val="00A87753"/>
    <w:rsid w:val="00A9331F"/>
    <w:rsid w:val="00A9444C"/>
    <w:rsid w:val="00A94DD4"/>
    <w:rsid w:val="00AA1589"/>
    <w:rsid w:val="00AA1EA1"/>
    <w:rsid w:val="00AA5BC2"/>
    <w:rsid w:val="00AA5E15"/>
    <w:rsid w:val="00AA682E"/>
    <w:rsid w:val="00AC2071"/>
    <w:rsid w:val="00AC2368"/>
    <w:rsid w:val="00AC6B33"/>
    <w:rsid w:val="00AD256C"/>
    <w:rsid w:val="00AD5800"/>
    <w:rsid w:val="00AE00E9"/>
    <w:rsid w:val="00AE0B9C"/>
    <w:rsid w:val="00AE55A5"/>
    <w:rsid w:val="00AE64B8"/>
    <w:rsid w:val="00AF141E"/>
    <w:rsid w:val="00AF3AB8"/>
    <w:rsid w:val="00AF5545"/>
    <w:rsid w:val="00AF6C5F"/>
    <w:rsid w:val="00AF7BDB"/>
    <w:rsid w:val="00B00A5A"/>
    <w:rsid w:val="00B00C2A"/>
    <w:rsid w:val="00B01529"/>
    <w:rsid w:val="00B11065"/>
    <w:rsid w:val="00B12614"/>
    <w:rsid w:val="00B13682"/>
    <w:rsid w:val="00B144B3"/>
    <w:rsid w:val="00B14BA9"/>
    <w:rsid w:val="00B22F1E"/>
    <w:rsid w:val="00B23BED"/>
    <w:rsid w:val="00B2493B"/>
    <w:rsid w:val="00B24987"/>
    <w:rsid w:val="00B26343"/>
    <w:rsid w:val="00B325FE"/>
    <w:rsid w:val="00B3504F"/>
    <w:rsid w:val="00B3673D"/>
    <w:rsid w:val="00B405F5"/>
    <w:rsid w:val="00B4182D"/>
    <w:rsid w:val="00B42AF1"/>
    <w:rsid w:val="00B43606"/>
    <w:rsid w:val="00B5655B"/>
    <w:rsid w:val="00B56735"/>
    <w:rsid w:val="00B61811"/>
    <w:rsid w:val="00B64E49"/>
    <w:rsid w:val="00B657DF"/>
    <w:rsid w:val="00B66A0E"/>
    <w:rsid w:val="00B67534"/>
    <w:rsid w:val="00B706A2"/>
    <w:rsid w:val="00B8155A"/>
    <w:rsid w:val="00B81957"/>
    <w:rsid w:val="00B82A6E"/>
    <w:rsid w:val="00B868CA"/>
    <w:rsid w:val="00B871E6"/>
    <w:rsid w:val="00B9166C"/>
    <w:rsid w:val="00B93BCC"/>
    <w:rsid w:val="00B93C35"/>
    <w:rsid w:val="00B97EA0"/>
    <w:rsid w:val="00BA121B"/>
    <w:rsid w:val="00BA64CF"/>
    <w:rsid w:val="00BA6C4A"/>
    <w:rsid w:val="00BB2DF0"/>
    <w:rsid w:val="00BB40C9"/>
    <w:rsid w:val="00BC00D7"/>
    <w:rsid w:val="00BC1376"/>
    <w:rsid w:val="00BC1742"/>
    <w:rsid w:val="00BC2DAB"/>
    <w:rsid w:val="00BC34A4"/>
    <w:rsid w:val="00BC4402"/>
    <w:rsid w:val="00BD1815"/>
    <w:rsid w:val="00BD18E4"/>
    <w:rsid w:val="00BD217E"/>
    <w:rsid w:val="00BD628F"/>
    <w:rsid w:val="00BE0241"/>
    <w:rsid w:val="00BE336C"/>
    <w:rsid w:val="00BE45E8"/>
    <w:rsid w:val="00BE6FB8"/>
    <w:rsid w:val="00BE7AD5"/>
    <w:rsid w:val="00BF0CAD"/>
    <w:rsid w:val="00C00BD4"/>
    <w:rsid w:val="00C00CED"/>
    <w:rsid w:val="00C03BB1"/>
    <w:rsid w:val="00C03CDA"/>
    <w:rsid w:val="00C04AA5"/>
    <w:rsid w:val="00C10689"/>
    <w:rsid w:val="00C10B66"/>
    <w:rsid w:val="00C11D38"/>
    <w:rsid w:val="00C1436F"/>
    <w:rsid w:val="00C17399"/>
    <w:rsid w:val="00C200EA"/>
    <w:rsid w:val="00C21055"/>
    <w:rsid w:val="00C212E1"/>
    <w:rsid w:val="00C22A00"/>
    <w:rsid w:val="00C22CA4"/>
    <w:rsid w:val="00C23262"/>
    <w:rsid w:val="00C23444"/>
    <w:rsid w:val="00C234F3"/>
    <w:rsid w:val="00C26BDA"/>
    <w:rsid w:val="00C27DB9"/>
    <w:rsid w:val="00C34CCD"/>
    <w:rsid w:val="00C43424"/>
    <w:rsid w:val="00C44041"/>
    <w:rsid w:val="00C476AB"/>
    <w:rsid w:val="00C5246B"/>
    <w:rsid w:val="00C558E2"/>
    <w:rsid w:val="00C558EF"/>
    <w:rsid w:val="00C609D5"/>
    <w:rsid w:val="00C61828"/>
    <w:rsid w:val="00C6244A"/>
    <w:rsid w:val="00C64204"/>
    <w:rsid w:val="00C66779"/>
    <w:rsid w:val="00C7575B"/>
    <w:rsid w:val="00C80133"/>
    <w:rsid w:val="00C80673"/>
    <w:rsid w:val="00C81342"/>
    <w:rsid w:val="00C841AF"/>
    <w:rsid w:val="00C92C49"/>
    <w:rsid w:val="00C95538"/>
    <w:rsid w:val="00C96A60"/>
    <w:rsid w:val="00CA02EA"/>
    <w:rsid w:val="00CA1BB0"/>
    <w:rsid w:val="00CA6CA6"/>
    <w:rsid w:val="00CA7A1E"/>
    <w:rsid w:val="00CB1FBE"/>
    <w:rsid w:val="00CB24B7"/>
    <w:rsid w:val="00CB543F"/>
    <w:rsid w:val="00CB7B33"/>
    <w:rsid w:val="00CC1D5A"/>
    <w:rsid w:val="00CC24F9"/>
    <w:rsid w:val="00CC2C2C"/>
    <w:rsid w:val="00CC4701"/>
    <w:rsid w:val="00CC5148"/>
    <w:rsid w:val="00CC6957"/>
    <w:rsid w:val="00CC6B8D"/>
    <w:rsid w:val="00CD297D"/>
    <w:rsid w:val="00CD4061"/>
    <w:rsid w:val="00CD576A"/>
    <w:rsid w:val="00CF381E"/>
    <w:rsid w:val="00CF49D2"/>
    <w:rsid w:val="00CF7108"/>
    <w:rsid w:val="00D00780"/>
    <w:rsid w:val="00D032D8"/>
    <w:rsid w:val="00D05E29"/>
    <w:rsid w:val="00D075E9"/>
    <w:rsid w:val="00D124C2"/>
    <w:rsid w:val="00D1642E"/>
    <w:rsid w:val="00D20989"/>
    <w:rsid w:val="00D22E92"/>
    <w:rsid w:val="00D24F8D"/>
    <w:rsid w:val="00D25C33"/>
    <w:rsid w:val="00D27996"/>
    <w:rsid w:val="00D330BE"/>
    <w:rsid w:val="00D36C95"/>
    <w:rsid w:val="00D376B8"/>
    <w:rsid w:val="00D37BB0"/>
    <w:rsid w:val="00D41070"/>
    <w:rsid w:val="00D41EBB"/>
    <w:rsid w:val="00D422BA"/>
    <w:rsid w:val="00D42696"/>
    <w:rsid w:val="00D427B6"/>
    <w:rsid w:val="00D45330"/>
    <w:rsid w:val="00D50257"/>
    <w:rsid w:val="00D51EF1"/>
    <w:rsid w:val="00D5219C"/>
    <w:rsid w:val="00D55376"/>
    <w:rsid w:val="00D6056B"/>
    <w:rsid w:val="00D60D9A"/>
    <w:rsid w:val="00D61D39"/>
    <w:rsid w:val="00D61D3A"/>
    <w:rsid w:val="00D63F22"/>
    <w:rsid w:val="00D643E6"/>
    <w:rsid w:val="00D64515"/>
    <w:rsid w:val="00D70650"/>
    <w:rsid w:val="00D7589B"/>
    <w:rsid w:val="00D85296"/>
    <w:rsid w:val="00D868A2"/>
    <w:rsid w:val="00D934E0"/>
    <w:rsid w:val="00DA28A6"/>
    <w:rsid w:val="00DA4A19"/>
    <w:rsid w:val="00DA71FB"/>
    <w:rsid w:val="00DB19A5"/>
    <w:rsid w:val="00DB3862"/>
    <w:rsid w:val="00DB5F29"/>
    <w:rsid w:val="00DB5FBB"/>
    <w:rsid w:val="00DC1311"/>
    <w:rsid w:val="00DC22F0"/>
    <w:rsid w:val="00DC29E4"/>
    <w:rsid w:val="00DC2B49"/>
    <w:rsid w:val="00DC342F"/>
    <w:rsid w:val="00DC614D"/>
    <w:rsid w:val="00DD37CF"/>
    <w:rsid w:val="00DD3A82"/>
    <w:rsid w:val="00DE3E41"/>
    <w:rsid w:val="00DE496B"/>
    <w:rsid w:val="00DE7005"/>
    <w:rsid w:val="00DF1C3E"/>
    <w:rsid w:val="00DF334B"/>
    <w:rsid w:val="00DF3C74"/>
    <w:rsid w:val="00DF607C"/>
    <w:rsid w:val="00DF6BC7"/>
    <w:rsid w:val="00E03E53"/>
    <w:rsid w:val="00E05C4B"/>
    <w:rsid w:val="00E06CF4"/>
    <w:rsid w:val="00E11AE1"/>
    <w:rsid w:val="00E1625A"/>
    <w:rsid w:val="00E2066D"/>
    <w:rsid w:val="00E20DF3"/>
    <w:rsid w:val="00E21A8E"/>
    <w:rsid w:val="00E2215C"/>
    <w:rsid w:val="00E267A8"/>
    <w:rsid w:val="00E26A48"/>
    <w:rsid w:val="00E30EC8"/>
    <w:rsid w:val="00E31BCF"/>
    <w:rsid w:val="00E33681"/>
    <w:rsid w:val="00E33FC9"/>
    <w:rsid w:val="00E425E2"/>
    <w:rsid w:val="00E42B37"/>
    <w:rsid w:val="00E471DE"/>
    <w:rsid w:val="00E5256E"/>
    <w:rsid w:val="00E57D11"/>
    <w:rsid w:val="00E66436"/>
    <w:rsid w:val="00E7339D"/>
    <w:rsid w:val="00E77D3C"/>
    <w:rsid w:val="00E86A5A"/>
    <w:rsid w:val="00E90C39"/>
    <w:rsid w:val="00E94CAB"/>
    <w:rsid w:val="00E97548"/>
    <w:rsid w:val="00EA373C"/>
    <w:rsid w:val="00EA71EE"/>
    <w:rsid w:val="00EA7C60"/>
    <w:rsid w:val="00EB2C42"/>
    <w:rsid w:val="00EB2D00"/>
    <w:rsid w:val="00EB5599"/>
    <w:rsid w:val="00EB7818"/>
    <w:rsid w:val="00EC1227"/>
    <w:rsid w:val="00EC247C"/>
    <w:rsid w:val="00EC7228"/>
    <w:rsid w:val="00EC7659"/>
    <w:rsid w:val="00EC7786"/>
    <w:rsid w:val="00ED0CF1"/>
    <w:rsid w:val="00ED0FBF"/>
    <w:rsid w:val="00ED7690"/>
    <w:rsid w:val="00EE1F75"/>
    <w:rsid w:val="00EE2871"/>
    <w:rsid w:val="00EE307C"/>
    <w:rsid w:val="00EE5E36"/>
    <w:rsid w:val="00EF3499"/>
    <w:rsid w:val="00F0008B"/>
    <w:rsid w:val="00F029C3"/>
    <w:rsid w:val="00F06616"/>
    <w:rsid w:val="00F14615"/>
    <w:rsid w:val="00F14EE5"/>
    <w:rsid w:val="00F16971"/>
    <w:rsid w:val="00F16EEC"/>
    <w:rsid w:val="00F20AF1"/>
    <w:rsid w:val="00F20F97"/>
    <w:rsid w:val="00F26D77"/>
    <w:rsid w:val="00F30721"/>
    <w:rsid w:val="00F30EC1"/>
    <w:rsid w:val="00F31A93"/>
    <w:rsid w:val="00F3394C"/>
    <w:rsid w:val="00F35254"/>
    <w:rsid w:val="00F371C6"/>
    <w:rsid w:val="00F372A9"/>
    <w:rsid w:val="00F43B73"/>
    <w:rsid w:val="00F45C86"/>
    <w:rsid w:val="00F47143"/>
    <w:rsid w:val="00F54C6D"/>
    <w:rsid w:val="00F566D4"/>
    <w:rsid w:val="00F6121C"/>
    <w:rsid w:val="00F640C2"/>
    <w:rsid w:val="00F8142C"/>
    <w:rsid w:val="00F832A9"/>
    <w:rsid w:val="00F87C35"/>
    <w:rsid w:val="00F9630A"/>
    <w:rsid w:val="00FA1A22"/>
    <w:rsid w:val="00FA3295"/>
    <w:rsid w:val="00FA3D66"/>
    <w:rsid w:val="00FB1CA1"/>
    <w:rsid w:val="00FB3BF7"/>
    <w:rsid w:val="00FC0E2D"/>
    <w:rsid w:val="00FC1F2B"/>
    <w:rsid w:val="00FC4025"/>
    <w:rsid w:val="00FC4EDA"/>
    <w:rsid w:val="00FC581D"/>
    <w:rsid w:val="00FD1C6B"/>
    <w:rsid w:val="00FD22A0"/>
    <w:rsid w:val="00FE238F"/>
    <w:rsid w:val="00FE24F6"/>
    <w:rsid w:val="00FE61F7"/>
    <w:rsid w:val="00FF1088"/>
    <w:rsid w:val="00FF6A5D"/>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39660D-5925-471B-B51E-8AB1A70F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B9C"/>
  </w:style>
  <w:style w:type="paragraph" w:styleId="Heading1">
    <w:name w:val="heading 1"/>
    <w:basedOn w:val="Normal"/>
    <w:next w:val="Normal"/>
    <w:link w:val="Heading1Char"/>
    <w:uiPriority w:val="9"/>
    <w:qFormat/>
    <w:rsid w:val="00CF7108"/>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CF7108"/>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DB5FBB"/>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4D3F"/>
  </w:style>
  <w:style w:type="character" w:customStyle="1" w:styleId="Heading1Char">
    <w:name w:val="Heading 1 Char"/>
    <w:basedOn w:val="DefaultParagraphFont"/>
    <w:link w:val="Heading1"/>
    <w:uiPriority w:val="9"/>
    <w:rsid w:val="00CF7108"/>
    <w:rPr>
      <w:rFonts w:eastAsiaTheme="majorEastAsia" w:cstheme="majorBidi"/>
      <w:b/>
      <w:bCs/>
      <w:kern w:val="32"/>
      <w:sz w:val="32"/>
      <w:szCs w:val="32"/>
    </w:rPr>
  </w:style>
  <w:style w:type="character" w:customStyle="1" w:styleId="Heading2Char">
    <w:name w:val="Heading 2 Char"/>
    <w:basedOn w:val="DefaultParagraphFont"/>
    <w:link w:val="Heading2"/>
    <w:uiPriority w:val="9"/>
    <w:rsid w:val="00CF7108"/>
    <w:rPr>
      <w:rFonts w:eastAsiaTheme="majorEastAsia" w:cstheme="majorBidi"/>
      <w:b/>
      <w:bCs/>
      <w:iCs/>
      <w:sz w:val="28"/>
      <w:szCs w:val="28"/>
    </w:rPr>
  </w:style>
  <w:style w:type="paragraph" w:styleId="ListParagraph">
    <w:name w:val="List Paragraph"/>
    <w:basedOn w:val="Normal"/>
    <w:uiPriority w:val="34"/>
    <w:qFormat/>
    <w:rsid w:val="00550EF8"/>
    <w:pPr>
      <w:spacing w:after="200" w:line="276" w:lineRule="auto"/>
      <w:ind w:left="720"/>
      <w:contextualSpacing/>
    </w:pPr>
    <w:rPr>
      <w:rFonts w:asciiTheme="minorHAnsi" w:eastAsiaTheme="minorEastAsia" w:hAnsiTheme="minorHAnsi" w:cstheme="minorBidi"/>
      <w:sz w:val="22"/>
      <w:szCs w:val="22"/>
      <w:lang w:bidi="en-US"/>
    </w:rPr>
  </w:style>
  <w:style w:type="character" w:customStyle="1" w:styleId="NoSpacingChar">
    <w:name w:val="No Spacing Char"/>
    <w:basedOn w:val="DefaultParagraphFont"/>
    <w:link w:val="NoSpacing"/>
    <w:uiPriority w:val="1"/>
    <w:locked/>
    <w:rsid w:val="00550EF8"/>
  </w:style>
  <w:style w:type="character" w:styleId="BookTitle">
    <w:name w:val="Book Title"/>
    <w:basedOn w:val="DefaultParagraphFont"/>
    <w:uiPriority w:val="33"/>
    <w:qFormat/>
    <w:rsid w:val="003D1FBB"/>
    <w:rPr>
      <w:b/>
      <w:bCs/>
      <w:smallCaps/>
      <w:spacing w:val="5"/>
    </w:rPr>
  </w:style>
  <w:style w:type="character" w:styleId="Hyperlink">
    <w:name w:val="Hyperlink"/>
    <w:basedOn w:val="DefaultParagraphFont"/>
    <w:uiPriority w:val="99"/>
    <w:unhideWhenUsed/>
    <w:rsid w:val="000418F6"/>
    <w:rPr>
      <w:color w:val="0000FF"/>
      <w:u w:val="single"/>
    </w:rPr>
  </w:style>
  <w:style w:type="character" w:styleId="FollowedHyperlink">
    <w:name w:val="FollowedHyperlink"/>
    <w:basedOn w:val="DefaultParagraphFont"/>
    <w:uiPriority w:val="99"/>
    <w:semiHidden/>
    <w:unhideWhenUsed/>
    <w:rsid w:val="000418F6"/>
    <w:rPr>
      <w:color w:val="800080" w:themeColor="followedHyperlink"/>
      <w:u w:val="single"/>
    </w:rPr>
  </w:style>
  <w:style w:type="paragraph" w:styleId="BodyTextIndent">
    <w:name w:val="Body Text Indent"/>
    <w:basedOn w:val="Normal"/>
    <w:link w:val="BodyTextIndentChar"/>
    <w:rsid w:val="00DB5FBB"/>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B5FBB"/>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DB5FBB"/>
    <w:rPr>
      <w:rFonts w:eastAsiaTheme="majorEastAsia" w:cstheme="majorBidi"/>
      <w:b/>
      <w:bCs/>
      <w:color w:val="000000" w:themeColor="text1"/>
    </w:rPr>
  </w:style>
  <w:style w:type="paragraph" w:styleId="NormalWeb">
    <w:name w:val="Normal (Web)"/>
    <w:basedOn w:val="Normal"/>
    <w:uiPriority w:val="99"/>
    <w:unhideWhenUsed/>
    <w:rsid w:val="00F371C6"/>
    <w:pPr>
      <w:spacing w:before="100" w:beforeAutospacing="1" w:after="100" w:afterAutospacing="1"/>
    </w:pPr>
    <w:rPr>
      <w:rFonts w:ascii="Times New Roman" w:eastAsiaTheme="minorEastAsia" w:hAnsi="Times New Roman" w:cstheme="minorBidi"/>
      <w:color w:val="000000"/>
      <w:lang w:bidi="en-US"/>
    </w:rPr>
  </w:style>
  <w:style w:type="paragraph" w:styleId="Header">
    <w:name w:val="header"/>
    <w:basedOn w:val="Normal"/>
    <w:link w:val="HeaderChar"/>
    <w:uiPriority w:val="99"/>
    <w:unhideWhenUsed/>
    <w:rsid w:val="0078315A"/>
    <w:pPr>
      <w:tabs>
        <w:tab w:val="center" w:pos="4680"/>
        <w:tab w:val="right" w:pos="9360"/>
      </w:tabs>
    </w:pPr>
  </w:style>
  <w:style w:type="character" w:customStyle="1" w:styleId="HeaderChar">
    <w:name w:val="Header Char"/>
    <w:basedOn w:val="DefaultParagraphFont"/>
    <w:link w:val="Header"/>
    <w:uiPriority w:val="99"/>
    <w:rsid w:val="0078315A"/>
  </w:style>
  <w:style w:type="paragraph" w:styleId="Footer">
    <w:name w:val="footer"/>
    <w:basedOn w:val="Normal"/>
    <w:link w:val="FooterChar"/>
    <w:uiPriority w:val="99"/>
    <w:unhideWhenUsed/>
    <w:rsid w:val="0078315A"/>
    <w:pPr>
      <w:tabs>
        <w:tab w:val="center" w:pos="4680"/>
        <w:tab w:val="right" w:pos="9360"/>
      </w:tabs>
    </w:pPr>
  </w:style>
  <w:style w:type="character" w:customStyle="1" w:styleId="FooterChar">
    <w:name w:val="Footer Char"/>
    <w:basedOn w:val="DefaultParagraphFont"/>
    <w:link w:val="Footer"/>
    <w:uiPriority w:val="99"/>
    <w:rsid w:val="0078315A"/>
  </w:style>
  <w:style w:type="paragraph" w:styleId="BalloonText">
    <w:name w:val="Balloon Text"/>
    <w:basedOn w:val="Normal"/>
    <w:link w:val="BalloonTextChar"/>
    <w:uiPriority w:val="99"/>
    <w:semiHidden/>
    <w:unhideWhenUsed/>
    <w:rsid w:val="0078315A"/>
    <w:rPr>
      <w:sz w:val="16"/>
      <w:szCs w:val="16"/>
    </w:rPr>
  </w:style>
  <w:style w:type="character" w:customStyle="1" w:styleId="BalloonTextChar">
    <w:name w:val="Balloon Text Char"/>
    <w:basedOn w:val="DefaultParagraphFont"/>
    <w:link w:val="BalloonText"/>
    <w:uiPriority w:val="99"/>
    <w:semiHidden/>
    <w:rsid w:val="0078315A"/>
    <w:rPr>
      <w:sz w:val="16"/>
      <w:szCs w:val="16"/>
    </w:rPr>
  </w:style>
  <w:style w:type="paragraph" w:styleId="TOCHeading">
    <w:name w:val="TOC Heading"/>
    <w:basedOn w:val="Heading1"/>
    <w:next w:val="Normal"/>
    <w:uiPriority w:val="39"/>
    <w:semiHidden/>
    <w:unhideWhenUsed/>
    <w:qFormat/>
    <w:rsid w:val="00FE24F6"/>
    <w:pPr>
      <w:keepLines/>
      <w:spacing w:before="480" w:after="0" w:line="276" w:lineRule="auto"/>
      <w:outlineLvl w:val="9"/>
    </w:pPr>
    <w:rPr>
      <w:rFonts w:asciiTheme="majorHAnsi" w:hAnsiTheme="majorHAnsi"/>
      <w:color w:val="365F91" w:themeColor="accent1" w:themeShade="BF"/>
      <w:kern w:val="0"/>
      <w:sz w:val="28"/>
      <w:szCs w:val="28"/>
    </w:rPr>
  </w:style>
  <w:style w:type="paragraph" w:styleId="TOC1">
    <w:name w:val="toc 1"/>
    <w:basedOn w:val="Normal"/>
    <w:next w:val="Normal"/>
    <w:autoRedefine/>
    <w:uiPriority w:val="39"/>
    <w:unhideWhenUsed/>
    <w:rsid w:val="00FE24F6"/>
    <w:pPr>
      <w:spacing w:after="100"/>
    </w:pPr>
  </w:style>
  <w:style w:type="paragraph" w:styleId="TOC2">
    <w:name w:val="toc 2"/>
    <w:basedOn w:val="Normal"/>
    <w:next w:val="Normal"/>
    <w:autoRedefine/>
    <w:uiPriority w:val="39"/>
    <w:unhideWhenUsed/>
    <w:rsid w:val="00FE24F6"/>
    <w:pPr>
      <w:spacing w:after="100"/>
      <w:ind w:left="240"/>
    </w:pPr>
  </w:style>
  <w:style w:type="paragraph" w:styleId="TOC3">
    <w:name w:val="toc 3"/>
    <w:basedOn w:val="Normal"/>
    <w:next w:val="Normal"/>
    <w:autoRedefine/>
    <w:uiPriority w:val="39"/>
    <w:unhideWhenUsed/>
    <w:rsid w:val="00FE24F6"/>
    <w:pPr>
      <w:spacing w:after="100"/>
      <w:ind w:left="480"/>
    </w:pPr>
  </w:style>
  <w:style w:type="character" w:customStyle="1" w:styleId="italic1">
    <w:name w:val="italic1"/>
    <w:basedOn w:val="DefaultParagraphFont"/>
    <w:rsid w:val="007A613B"/>
    <w:rPr>
      <w:i/>
      <w:iCs/>
    </w:rPr>
  </w:style>
  <w:style w:type="table" w:styleId="TableGrid">
    <w:name w:val="Table Grid"/>
    <w:basedOn w:val="TableNormal"/>
    <w:uiPriority w:val="39"/>
    <w:rsid w:val="00E73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1923">
      <w:bodyDiv w:val="1"/>
      <w:marLeft w:val="0"/>
      <w:marRight w:val="0"/>
      <w:marTop w:val="0"/>
      <w:marBottom w:val="0"/>
      <w:divBdr>
        <w:top w:val="none" w:sz="0" w:space="0" w:color="auto"/>
        <w:left w:val="none" w:sz="0" w:space="0" w:color="auto"/>
        <w:bottom w:val="none" w:sz="0" w:space="0" w:color="auto"/>
        <w:right w:val="none" w:sz="0" w:space="0" w:color="auto"/>
      </w:divBdr>
    </w:div>
    <w:div w:id="372267877">
      <w:bodyDiv w:val="1"/>
      <w:marLeft w:val="0"/>
      <w:marRight w:val="0"/>
      <w:marTop w:val="0"/>
      <w:marBottom w:val="0"/>
      <w:divBdr>
        <w:top w:val="none" w:sz="0" w:space="0" w:color="auto"/>
        <w:left w:val="none" w:sz="0" w:space="0" w:color="auto"/>
        <w:bottom w:val="none" w:sz="0" w:space="0" w:color="auto"/>
        <w:right w:val="none" w:sz="0" w:space="0" w:color="auto"/>
      </w:divBdr>
    </w:div>
    <w:div w:id="376245644">
      <w:bodyDiv w:val="1"/>
      <w:marLeft w:val="0"/>
      <w:marRight w:val="0"/>
      <w:marTop w:val="0"/>
      <w:marBottom w:val="0"/>
      <w:divBdr>
        <w:top w:val="none" w:sz="0" w:space="0" w:color="auto"/>
        <w:left w:val="none" w:sz="0" w:space="0" w:color="auto"/>
        <w:bottom w:val="none" w:sz="0" w:space="0" w:color="auto"/>
        <w:right w:val="none" w:sz="0" w:space="0" w:color="auto"/>
      </w:divBdr>
    </w:div>
    <w:div w:id="394473372">
      <w:bodyDiv w:val="1"/>
      <w:marLeft w:val="0"/>
      <w:marRight w:val="0"/>
      <w:marTop w:val="0"/>
      <w:marBottom w:val="0"/>
      <w:divBdr>
        <w:top w:val="none" w:sz="0" w:space="0" w:color="auto"/>
        <w:left w:val="none" w:sz="0" w:space="0" w:color="auto"/>
        <w:bottom w:val="none" w:sz="0" w:space="0" w:color="auto"/>
        <w:right w:val="none" w:sz="0" w:space="0" w:color="auto"/>
      </w:divBdr>
    </w:div>
    <w:div w:id="461074624">
      <w:bodyDiv w:val="1"/>
      <w:marLeft w:val="0"/>
      <w:marRight w:val="0"/>
      <w:marTop w:val="0"/>
      <w:marBottom w:val="0"/>
      <w:divBdr>
        <w:top w:val="none" w:sz="0" w:space="0" w:color="auto"/>
        <w:left w:val="none" w:sz="0" w:space="0" w:color="auto"/>
        <w:bottom w:val="none" w:sz="0" w:space="0" w:color="auto"/>
        <w:right w:val="none" w:sz="0" w:space="0" w:color="auto"/>
      </w:divBdr>
    </w:div>
    <w:div w:id="507915695">
      <w:bodyDiv w:val="1"/>
      <w:marLeft w:val="0"/>
      <w:marRight w:val="0"/>
      <w:marTop w:val="0"/>
      <w:marBottom w:val="0"/>
      <w:divBdr>
        <w:top w:val="none" w:sz="0" w:space="0" w:color="auto"/>
        <w:left w:val="none" w:sz="0" w:space="0" w:color="auto"/>
        <w:bottom w:val="none" w:sz="0" w:space="0" w:color="auto"/>
        <w:right w:val="none" w:sz="0" w:space="0" w:color="auto"/>
      </w:divBdr>
    </w:div>
    <w:div w:id="855459758">
      <w:bodyDiv w:val="1"/>
      <w:marLeft w:val="0"/>
      <w:marRight w:val="0"/>
      <w:marTop w:val="0"/>
      <w:marBottom w:val="0"/>
      <w:divBdr>
        <w:top w:val="none" w:sz="0" w:space="0" w:color="auto"/>
        <w:left w:val="none" w:sz="0" w:space="0" w:color="auto"/>
        <w:bottom w:val="none" w:sz="0" w:space="0" w:color="auto"/>
        <w:right w:val="none" w:sz="0" w:space="0" w:color="auto"/>
      </w:divBdr>
    </w:div>
    <w:div w:id="937254678">
      <w:bodyDiv w:val="1"/>
      <w:marLeft w:val="0"/>
      <w:marRight w:val="0"/>
      <w:marTop w:val="0"/>
      <w:marBottom w:val="0"/>
      <w:divBdr>
        <w:top w:val="none" w:sz="0" w:space="0" w:color="auto"/>
        <w:left w:val="none" w:sz="0" w:space="0" w:color="auto"/>
        <w:bottom w:val="none" w:sz="0" w:space="0" w:color="auto"/>
        <w:right w:val="none" w:sz="0" w:space="0" w:color="auto"/>
      </w:divBdr>
    </w:div>
    <w:div w:id="1724018773">
      <w:bodyDiv w:val="1"/>
      <w:marLeft w:val="0"/>
      <w:marRight w:val="0"/>
      <w:marTop w:val="0"/>
      <w:marBottom w:val="0"/>
      <w:divBdr>
        <w:top w:val="none" w:sz="0" w:space="0" w:color="auto"/>
        <w:left w:val="none" w:sz="0" w:space="0" w:color="auto"/>
        <w:bottom w:val="none" w:sz="0" w:space="0" w:color="auto"/>
        <w:right w:val="none" w:sz="0" w:space="0" w:color="auto"/>
      </w:divBdr>
    </w:div>
    <w:div w:id="1734310818">
      <w:bodyDiv w:val="1"/>
      <w:marLeft w:val="0"/>
      <w:marRight w:val="0"/>
      <w:marTop w:val="0"/>
      <w:marBottom w:val="0"/>
      <w:divBdr>
        <w:top w:val="none" w:sz="0" w:space="0" w:color="auto"/>
        <w:left w:val="none" w:sz="0" w:space="0" w:color="auto"/>
        <w:bottom w:val="none" w:sz="0" w:space="0" w:color="auto"/>
        <w:right w:val="none" w:sz="0" w:space="0" w:color="auto"/>
      </w:divBdr>
    </w:div>
    <w:div w:id="1734615770">
      <w:bodyDiv w:val="1"/>
      <w:marLeft w:val="0"/>
      <w:marRight w:val="0"/>
      <w:marTop w:val="0"/>
      <w:marBottom w:val="0"/>
      <w:divBdr>
        <w:top w:val="none" w:sz="0" w:space="0" w:color="auto"/>
        <w:left w:val="none" w:sz="0" w:space="0" w:color="auto"/>
        <w:bottom w:val="none" w:sz="0" w:space="0" w:color="auto"/>
        <w:right w:val="none" w:sz="0" w:space="0" w:color="auto"/>
      </w:divBdr>
    </w:div>
    <w:div w:id="1783917459">
      <w:bodyDiv w:val="1"/>
      <w:marLeft w:val="0"/>
      <w:marRight w:val="0"/>
      <w:marTop w:val="0"/>
      <w:marBottom w:val="0"/>
      <w:divBdr>
        <w:top w:val="none" w:sz="0" w:space="0" w:color="auto"/>
        <w:left w:val="none" w:sz="0" w:space="0" w:color="auto"/>
        <w:bottom w:val="none" w:sz="0" w:space="0" w:color="auto"/>
        <w:right w:val="none" w:sz="0" w:space="0" w:color="auto"/>
      </w:divBdr>
    </w:div>
    <w:div w:id="1846550957">
      <w:bodyDiv w:val="1"/>
      <w:marLeft w:val="0"/>
      <w:marRight w:val="0"/>
      <w:marTop w:val="0"/>
      <w:marBottom w:val="0"/>
      <w:divBdr>
        <w:top w:val="none" w:sz="0" w:space="0" w:color="auto"/>
        <w:left w:val="none" w:sz="0" w:space="0" w:color="auto"/>
        <w:bottom w:val="none" w:sz="0" w:space="0" w:color="auto"/>
        <w:right w:val="none" w:sz="0" w:space="0" w:color="auto"/>
      </w:divBdr>
    </w:div>
    <w:div w:id="20939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A4165-4F7B-4AFA-A451-C26779CE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KY EEC DEP</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Kirby</dc:creator>
  <cp:lastModifiedBy>Paula</cp:lastModifiedBy>
  <cp:revision>4</cp:revision>
  <cp:lastPrinted>2017-10-24T18:52:00Z</cp:lastPrinted>
  <dcterms:created xsi:type="dcterms:W3CDTF">2017-10-25T13:29:00Z</dcterms:created>
  <dcterms:modified xsi:type="dcterms:W3CDTF">2017-10-25T13:29:00Z</dcterms:modified>
</cp:coreProperties>
</file>